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dp" ContentType="image/vnd.ms-photo"/>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rPr>
          <w:rFonts w:ascii="仿宋_GB2312" w:hAnsi="仿宋_GB2312" w:eastAsia="仿宋_GB2312" w:cs="仿宋_GB2312"/>
          <w:sz w:val="36"/>
          <w:szCs w:val="36"/>
        </w:rPr>
      </w:pPr>
    </w:p>
    <w:p>
      <w:pPr>
        <w:adjustRightInd w:val="0"/>
        <w:snapToGrid w:val="0"/>
        <w:jc w:val="center"/>
        <w:outlineLvl w:val="0"/>
        <w:rPr>
          <w:rFonts w:ascii="方正小标宋_GBK" w:eastAsia="方正小标宋_GBK"/>
          <w:bCs/>
          <w:sz w:val="72"/>
          <w:szCs w:val="72"/>
        </w:rPr>
      </w:pPr>
      <w:bookmarkStart w:id="0" w:name="_Toc86785828"/>
      <w:r>
        <w:rPr>
          <w:rFonts w:hint="eastAsia" w:ascii="方正小标宋_GBK" w:eastAsia="方正小标宋_GBK"/>
          <w:bCs/>
          <w:sz w:val="72"/>
          <w:szCs w:val="72"/>
        </w:rPr>
        <w:t>建设项目环境影响报告表</w:t>
      </w:r>
      <w:bookmarkEnd w:id="0"/>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（污染影响类）</w:t>
      </w:r>
    </w:p>
    <w:p>
      <w:pPr>
        <w:jc w:val="center"/>
        <w:rPr>
          <w:rFonts w:eastAsia="仿宋"/>
          <w:sz w:val="52"/>
          <w:szCs w:val="52"/>
        </w:rPr>
      </w:pPr>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adjustRightInd w:val="0"/>
        <w:snapToGrid w:val="0"/>
        <w:spacing w:line="288" w:lineRule="auto"/>
        <w:ind w:left="2160" w:hanging="2160" w:hangingChars="600"/>
        <w:rPr>
          <w:rFonts w:ascii="仿宋" w:hAnsi="仿宋" w:eastAsia="仿宋"/>
          <w:sz w:val="36"/>
          <w:szCs w:val="36"/>
          <w:u w:val="single"/>
        </w:rPr>
      </w:pPr>
      <w:r>
        <w:rPr>
          <w:rFonts w:hint="eastAsia" w:ascii="仿宋" w:hAnsi="仿宋" w:eastAsia="仿宋"/>
          <w:sz w:val="36"/>
          <w:szCs w:val="36"/>
        </w:rPr>
        <w:t xml:space="preserve">项目名称： </w:t>
      </w:r>
      <w:r>
        <w:rPr>
          <w:rFonts w:hint="eastAsia" w:ascii="仿宋" w:hAnsi="仿宋" w:eastAsia="仿宋"/>
          <w:sz w:val="36"/>
          <w:szCs w:val="36"/>
          <w:u w:val="single"/>
        </w:rPr>
        <w:t xml:space="preserve"> </w:t>
      </w:r>
      <w:r>
        <w:rPr>
          <w:rFonts w:ascii="仿宋" w:hAnsi="仿宋" w:eastAsia="仿宋"/>
          <w:sz w:val="36"/>
          <w:szCs w:val="36"/>
          <w:u w:val="single"/>
        </w:rPr>
        <w:t xml:space="preserve">    </w:t>
      </w:r>
      <w:r>
        <w:rPr>
          <w:rFonts w:hint="eastAsia" w:ascii="仿宋" w:hAnsi="仿宋" w:eastAsia="仿宋"/>
          <w:sz w:val="36"/>
          <w:szCs w:val="36"/>
          <w:u w:val="single"/>
        </w:rPr>
        <w:t xml:space="preserve">刨花板技术改造项目               </w:t>
      </w:r>
    </w:p>
    <w:p>
      <w:pPr>
        <w:adjustRightInd w:val="0"/>
        <w:snapToGrid w:val="0"/>
        <w:spacing w:line="288" w:lineRule="auto"/>
        <w:rPr>
          <w:rFonts w:ascii="仿宋" w:hAnsi="仿宋" w:eastAsia="仿宋"/>
          <w:sz w:val="36"/>
          <w:szCs w:val="36"/>
          <w:u w:val="single"/>
        </w:rPr>
      </w:pPr>
      <w:r>
        <w:rPr>
          <w:rFonts w:hint="eastAsia" w:ascii="仿宋" w:hAnsi="仿宋" w:eastAsia="仿宋"/>
          <w:sz w:val="36"/>
          <w:szCs w:val="36"/>
        </w:rPr>
        <w:t>建设单位（盖章）：</w:t>
      </w:r>
      <w:r>
        <w:rPr>
          <w:rFonts w:hint="eastAsia" w:ascii="仿宋" w:hAnsi="仿宋" w:eastAsia="仿宋"/>
          <w:sz w:val="36"/>
          <w:szCs w:val="36"/>
          <w:u w:val="single"/>
        </w:rPr>
        <w:t xml:space="preserve">新疆鑫汇众新型板业有限公司                   </w:t>
      </w:r>
    </w:p>
    <w:p>
      <w:pPr>
        <w:adjustRightInd w:val="0"/>
        <w:snapToGrid w:val="0"/>
        <w:spacing w:line="288" w:lineRule="auto"/>
        <w:rPr>
          <w:rFonts w:ascii="仿宋" w:hAnsi="仿宋" w:eastAsia="仿宋"/>
          <w:sz w:val="36"/>
          <w:szCs w:val="36"/>
          <w:u w:val="single"/>
        </w:rPr>
      </w:pPr>
      <w:r>
        <w:rPr>
          <w:rFonts w:hint="eastAsia" w:ascii="仿宋" w:hAnsi="仿宋" w:eastAsia="仿宋"/>
          <w:sz w:val="36"/>
          <w:szCs w:val="36"/>
        </w:rPr>
        <w:t xml:space="preserve">编制日期： </w:t>
      </w:r>
      <w:r>
        <w:rPr>
          <w:rFonts w:hint="eastAsia" w:ascii="仿宋" w:hAnsi="仿宋" w:eastAsia="仿宋"/>
          <w:sz w:val="36"/>
          <w:szCs w:val="36"/>
          <w:u w:val="single"/>
        </w:rPr>
        <w:t xml:space="preserve">           202</w:t>
      </w:r>
      <w:r>
        <w:rPr>
          <w:rFonts w:ascii="仿宋" w:hAnsi="仿宋" w:eastAsia="仿宋"/>
          <w:sz w:val="36"/>
          <w:szCs w:val="36"/>
          <w:u w:val="single"/>
        </w:rPr>
        <w:t>2</w:t>
      </w:r>
      <w:r>
        <w:rPr>
          <w:rFonts w:hint="eastAsia" w:ascii="仿宋" w:hAnsi="仿宋" w:eastAsia="仿宋"/>
          <w:sz w:val="36"/>
          <w:szCs w:val="36"/>
          <w:u w:val="single"/>
        </w:rPr>
        <w:t>年</w:t>
      </w:r>
      <w:r>
        <w:rPr>
          <w:rFonts w:ascii="仿宋" w:hAnsi="仿宋" w:eastAsia="仿宋"/>
          <w:sz w:val="36"/>
          <w:szCs w:val="36"/>
          <w:u w:val="single"/>
        </w:rPr>
        <w:t>2</w:t>
      </w:r>
      <w:r>
        <w:rPr>
          <w:rFonts w:hint="eastAsia" w:ascii="仿宋" w:hAnsi="仿宋" w:eastAsia="仿宋"/>
          <w:sz w:val="36"/>
          <w:szCs w:val="36"/>
          <w:u w:val="single"/>
        </w:rPr>
        <w:t>月</w:t>
      </w:r>
      <w:r>
        <w:rPr>
          <w:rFonts w:ascii="仿宋" w:hAnsi="仿宋" w:eastAsia="仿宋"/>
          <w:sz w:val="36"/>
          <w:szCs w:val="36"/>
          <w:u w:val="single"/>
        </w:rPr>
        <w:t xml:space="preserve">                       </w:t>
      </w:r>
      <w:r>
        <w:rPr>
          <w:rFonts w:hint="eastAsia" w:ascii="仿宋" w:hAnsi="仿宋" w:eastAsia="仿宋"/>
          <w:sz w:val="36"/>
          <w:szCs w:val="36"/>
          <w:u w:val="single"/>
        </w:rPr>
        <w:t xml:space="preserve"> </w:t>
      </w:r>
    </w:p>
    <w:p>
      <w:pPr>
        <w:adjustRightInd w:val="0"/>
        <w:snapToGrid w:val="0"/>
        <w:spacing w:line="288" w:lineRule="auto"/>
        <w:ind w:firstLine="1040"/>
        <w:rPr>
          <w:rFonts w:ascii="仿宋" w:hAnsi="仿宋" w:eastAsia="仿宋"/>
          <w:sz w:val="36"/>
          <w:szCs w:val="36"/>
        </w:rPr>
      </w:pPr>
      <w:bookmarkStart w:id="1" w:name="_Hlk57884087"/>
    </w:p>
    <w:bookmarkEnd w:id="1"/>
    <w:p>
      <w:pPr>
        <w:adjustRightInd w:val="0"/>
        <w:snapToGrid w:val="0"/>
        <w:spacing w:line="288" w:lineRule="auto"/>
        <w:jc w:val="center"/>
        <w:rPr>
          <w:rFonts w:ascii="仿宋_GB2312" w:eastAsia="仿宋_GB2312"/>
          <w:sz w:val="36"/>
          <w:szCs w:val="36"/>
        </w:rPr>
      </w:pPr>
    </w:p>
    <w:p>
      <w:pPr>
        <w:adjustRightInd w:val="0"/>
        <w:snapToGrid w:val="0"/>
        <w:spacing w:line="288" w:lineRule="auto"/>
        <w:jc w:val="center"/>
        <w:rPr>
          <w:rFonts w:ascii="仿宋_GB2312" w:eastAsia="仿宋_GB2312"/>
          <w:sz w:val="36"/>
          <w:szCs w:val="36"/>
        </w:rPr>
      </w:pPr>
      <w:r>
        <w:rPr>
          <w:rFonts w:hint="eastAsia" w:ascii="仿宋_GB2312" w:eastAsia="仿宋_GB2312"/>
          <w:sz w:val="36"/>
          <w:szCs w:val="36"/>
        </w:rPr>
        <w:t>中华人民共和国生态环境部制</w:t>
      </w:r>
    </w:p>
    <w:p>
      <w:pPr>
        <w:sectPr>
          <w:footerReference r:id="rId3" w:type="default"/>
          <w:pgSz w:w="11906" w:h="16838"/>
          <w:pgMar w:top="1701" w:right="1531" w:bottom="1701" w:left="1531" w:header="851" w:footer="1077" w:gutter="0"/>
          <w:pgNumType w:start="1"/>
          <w:cols w:space="720" w:num="1"/>
          <w:docGrid w:linePitch="312" w:charSpace="0"/>
        </w:sectPr>
      </w:pPr>
    </w:p>
    <w:p>
      <w:pPr>
        <w:pStyle w:val="44"/>
        <w:jc w:val="center"/>
        <w:outlineLvl w:val="0"/>
        <w:rPr>
          <w:rFonts w:ascii="黑体" w:hAnsi="黑体" w:eastAsia="黑体"/>
          <w:snapToGrid w:val="0"/>
          <w:sz w:val="30"/>
          <w:szCs w:val="30"/>
        </w:rPr>
      </w:pPr>
      <w:bookmarkStart w:id="2" w:name="_Toc86785829"/>
      <w:r>
        <w:rPr>
          <w:rFonts w:hint="eastAsia" w:ascii="黑体" w:hAnsi="黑体" w:eastAsia="黑体"/>
          <w:snapToGrid w:val="0"/>
          <w:sz w:val="30"/>
          <w:szCs w:val="30"/>
        </w:rPr>
        <w:t>一、建设项目基本情况</w:t>
      </w:r>
      <w:bookmarkEnd w:id="2"/>
    </w:p>
    <w:tbl>
      <w:tblPr>
        <w:tblStyle w:val="50"/>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382"/>
        <w:gridCol w:w="1719"/>
        <w:gridCol w:w="2008"/>
        <w:gridCol w:w="12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建设项目名称</w:t>
            </w:r>
          </w:p>
        </w:tc>
        <w:tc>
          <w:tcPr>
            <w:tcW w:w="6488" w:type="dxa"/>
            <w:gridSpan w:val="4"/>
            <w:vAlign w:val="center"/>
          </w:tcPr>
          <w:p>
            <w:pPr>
              <w:adjustRightInd w:val="0"/>
              <w:snapToGrid w:val="0"/>
              <w:jc w:val="center"/>
              <w:rPr>
                <w:rFonts w:ascii="宋体" w:hAnsi="宋体" w:cs="宋体"/>
                <w:szCs w:val="21"/>
              </w:rPr>
            </w:pPr>
            <w:r>
              <w:rPr>
                <w:rFonts w:hint="eastAsia" w:ascii="宋体" w:hAnsi="宋体" w:cs="宋体"/>
                <w:szCs w:val="21"/>
              </w:rPr>
              <w:t>刨花板技术改造项目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6488" w:type="dxa"/>
            <w:gridSpan w:val="4"/>
            <w:vAlign w:val="center"/>
          </w:tcPr>
          <w:p>
            <w:pPr>
              <w:adjustRightInd w:val="0"/>
              <w:snapToGrid w:val="0"/>
              <w:jc w:val="center"/>
              <w:rPr>
                <w:rFonts w:ascii="宋体" w:hAnsi="宋体" w:cs="宋体"/>
                <w:szCs w:val="21"/>
              </w:rPr>
            </w:pPr>
            <w:r>
              <w:rPr>
                <w:rFonts w:ascii="宋体" w:hAnsi="宋体" w:cs="宋体"/>
                <w:szCs w:val="21"/>
              </w:rPr>
              <w:t>2111</w:t>
            </w:r>
            <w:r>
              <w:rPr>
                <w:rFonts w:hint="eastAsia" w:ascii="宋体" w:hAnsi="宋体" w:cs="宋体"/>
                <w:szCs w:val="21"/>
              </w:rPr>
              <w:t>-</w:t>
            </w:r>
            <w:r>
              <w:rPr>
                <w:rFonts w:ascii="宋体" w:hAnsi="宋体" w:cs="宋体"/>
                <w:szCs w:val="21"/>
              </w:rPr>
              <w:t>652312</w:t>
            </w:r>
            <w:r>
              <w:rPr>
                <w:rFonts w:hint="eastAsia" w:ascii="宋体" w:hAnsi="宋体" w:cs="宋体"/>
                <w:szCs w:val="21"/>
              </w:rPr>
              <w:t>-</w:t>
            </w:r>
            <w:r>
              <w:rPr>
                <w:rFonts w:ascii="宋体" w:hAnsi="宋体" w:cs="宋体"/>
                <w:szCs w:val="21"/>
              </w:rPr>
              <w:t>04</w:t>
            </w:r>
            <w:r>
              <w:rPr>
                <w:rFonts w:hint="eastAsia" w:ascii="宋体" w:hAnsi="宋体" w:cs="宋体"/>
                <w:szCs w:val="21"/>
              </w:rPr>
              <w:t>-</w:t>
            </w:r>
            <w:r>
              <w:rPr>
                <w:rFonts w:ascii="宋体" w:hAnsi="宋体" w:cs="宋体"/>
                <w:szCs w:val="21"/>
              </w:rPr>
              <w:t>02</w:t>
            </w:r>
            <w:r>
              <w:rPr>
                <w:rFonts w:hint="eastAsia" w:ascii="宋体" w:hAnsi="宋体" w:cs="宋体"/>
                <w:szCs w:val="21"/>
              </w:rPr>
              <w:t>-</w:t>
            </w:r>
            <w:r>
              <w:rPr>
                <w:rFonts w:ascii="宋体" w:hAnsi="宋体" w:cs="宋体"/>
                <w:szCs w:val="21"/>
              </w:rPr>
              <w:t>450667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建设单位联系人</w:t>
            </w:r>
          </w:p>
        </w:tc>
        <w:tc>
          <w:tcPr>
            <w:tcW w:w="1719" w:type="dxa"/>
            <w:vAlign w:val="center"/>
          </w:tcPr>
          <w:p>
            <w:pPr>
              <w:adjustRightInd w:val="0"/>
              <w:snapToGrid w:val="0"/>
              <w:jc w:val="center"/>
              <w:rPr>
                <w:rFonts w:ascii="宋体" w:hAnsi="宋体" w:cs="宋体"/>
                <w:szCs w:val="21"/>
              </w:rPr>
            </w:pPr>
            <w:r>
              <w:rPr>
                <w:rFonts w:hint="eastAsia" w:ascii="宋体" w:hAnsi="宋体" w:cs="宋体"/>
                <w:szCs w:val="21"/>
              </w:rPr>
              <w:t>唐俊娟</w:t>
            </w:r>
          </w:p>
        </w:tc>
        <w:tc>
          <w:tcPr>
            <w:tcW w:w="2130" w:type="dxa"/>
            <w:gridSpan w:val="2"/>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639" w:type="dxa"/>
            <w:vAlign w:val="center"/>
          </w:tcPr>
          <w:p>
            <w:pPr>
              <w:adjustRightInd w:val="0"/>
              <w:snapToGrid w:val="0"/>
              <w:jc w:val="center"/>
              <w:rPr>
                <w:rFonts w:ascii="宋体" w:hAnsi="宋体" w:cs="宋体"/>
                <w:szCs w:val="21"/>
              </w:rPr>
            </w:pPr>
            <w:r>
              <w:rPr>
                <w:rFonts w:hint="eastAsia" w:ascii="宋体" w:hAnsi="宋体" w:cs="宋体"/>
                <w:szCs w:val="21"/>
              </w:rPr>
              <w:t>1</w:t>
            </w:r>
            <w:r>
              <w:rPr>
                <w:rFonts w:ascii="宋体" w:hAnsi="宋体" w:cs="宋体"/>
                <w:szCs w:val="21"/>
              </w:rPr>
              <w:t>8094842575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6488" w:type="dxa"/>
            <w:gridSpan w:val="4"/>
            <w:vAlign w:val="center"/>
          </w:tcPr>
          <w:p>
            <w:pPr>
              <w:adjustRightInd w:val="0"/>
              <w:snapToGrid w:val="0"/>
              <w:jc w:val="center"/>
              <w:rPr>
                <w:rFonts w:ascii="宋体" w:hAnsi="宋体" w:cs="宋体"/>
                <w:szCs w:val="21"/>
              </w:rPr>
            </w:pPr>
            <w:r>
              <w:rPr>
                <w:rFonts w:hint="eastAsia" w:ascii="宋体" w:hAnsi="宋体" w:cs="宋体"/>
                <w:szCs w:val="21"/>
              </w:rPr>
              <w:t>新疆昌吉州昌吉市高新技术产业开发区北环西路11号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6488" w:type="dxa"/>
            <w:gridSpan w:val="4"/>
            <w:vAlign w:val="center"/>
          </w:tcPr>
          <w:p>
            <w:pPr>
              <w:jc w:val="center"/>
              <w:rPr>
                <w:rFonts w:ascii="宋体" w:hAnsi="宋体" w:cs="宋体"/>
                <w:szCs w:val="21"/>
              </w:rPr>
            </w:pPr>
            <w:r>
              <w:rPr>
                <w:rFonts w:hint="eastAsia" w:ascii="宋体" w:hAnsi="宋体" w:cs="宋体"/>
                <w:szCs w:val="21"/>
              </w:rPr>
              <w:t>（</w:t>
            </w:r>
            <w:r>
              <w:rPr>
                <w:rFonts w:hint="eastAsia" w:ascii="宋体" w:hAnsi="宋体" w:cs="宋体"/>
                <w:szCs w:val="21"/>
                <w:u w:val="single"/>
              </w:rPr>
              <w:t xml:space="preserve"> </w:t>
            </w:r>
            <w:r>
              <w:rPr>
                <w:rFonts w:ascii="宋体" w:hAnsi="宋体" w:cs="宋体"/>
                <w:szCs w:val="21"/>
                <w:u w:val="single"/>
              </w:rPr>
              <w:t xml:space="preserve">87 </w:t>
            </w:r>
            <w:r>
              <w:rPr>
                <w:rFonts w:hint="eastAsia" w:ascii="宋体" w:hAnsi="宋体" w:cs="宋体"/>
                <w:szCs w:val="21"/>
              </w:rPr>
              <w:t>度</w:t>
            </w:r>
            <w:r>
              <w:rPr>
                <w:rFonts w:hint="eastAsia" w:ascii="宋体" w:hAnsi="宋体" w:cs="宋体"/>
                <w:szCs w:val="21"/>
                <w:u w:val="single"/>
              </w:rPr>
              <w:t xml:space="preserve"> </w:t>
            </w:r>
            <w:r>
              <w:rPr>
                <w:rFonts w:ascii="宋体" w:hAnsi="宋体" w:cs="宋体"/>
                <w:szCs w:val="21"/>
                <w:u w:val="single"/>
              </w:rPr>
              <w:t>02</w:t>
            </w:r>
            <w:r>
              <w:rPr>
                <w:rFonts w:hint="eastAsia" w:ascii="宋体" w:hAnsi="宋体" w:cs="宋体"/>
                <w:szCs w:val="21"/>
              </w:rPr>
              <w:t>分</w:t>
            </w:r>
            <w:r>
              <w:rPr>
                <w:rFonts w:hint="eastAsia" w:ascii="宋体" w:hAnsi="宋体" w:cs="宋体"/>
                <w:szCs w:val="21"/>
                <w:u w:val="single"/>
              </w:rPr>
              <w:t xml:space="preserve"> </w:t>
            </w:r>
            <w:r>
              <w:rPr>
                <w:rFonts w:ascii="宋体" w:hAnsi="宋体" w:cs="宋体"/>
                <w:szCs w:val="21"/>
                <w:u w:val="single"/>
              </w:rPr>
              <w:t>41</w:t>
            </w:r>
            <w:r>
              <w:rPr>
                <w:rFonts w:hint="eastAsia" w:ascii="宋体" w:hAnsi="宋体" w:cs="宋体"/>
                <w:szCs w:val="21"/>
                <w:u w:val="single"/>
              </w:rPr>
              <w:t>.</w:t>
            </w:r>
            <w:r>
              <w:rPr>
                <w:rFonts w:ascii="宋体" w:hAnsi="宋体" w:cs="宋体"/>
                <w:szCs w:val="21"/>
                <w:u w:val="single"/>
              </w:rPr>
              <w:t>844</w:t>
            </w:r>
            <w:r>
              <w:rPr>
                <w:rFonts w:hint="eastAsia" w:ascii="宋体" w:hAnsi="宋体" w:cs="宋体"/>
                <w:szCs w:val="21"/>
                <w:u w:val="single"/>
              </w:rPr>
              <w:t xml:space="preserve"> </w:t>
            </w:r>
            <w:r>
              <w:rPr>
                <w:rFonts w:hint="eastAsia" w:ascii="宋体" w:hAnsi="宋体" w:cs="宋体"/>
                <w:szCs w:val="21"/>
              </w:rPr>
              <w:t>秒，</w:t>
            </w:r>
            <w:r>
              <w:rPr>
                <w:rFonts w:ascii="宋体" w:hAnsi="宋体" w:cs="宋体"/>
                <w:szCs w:val="21"/>
                <w:u w:val="single"/>
              </w:rPr>
              <w:t xml:space="preserve"> </w:t>
            </w:r>
            <w:r>
              <w:rPr>
                <w:rFonts w:hint="eastAsia" w:ascii="宋体" w:hAnsi="宋体" w:cs="宋体"/>
                <w:szCs w:val="21"/>
                <w:u w:val="single"/>
              </w:rPr>
              <w:t>4</w:t>
            </w:r>
            <w:r>
              <w:rPr>
                <w:rFonts w:ascii="宋体" w:hAnsi="宋体" w:cs="宋体"/>
                <w:szCs w:val="21"/>
                <w:u w:val="single"/>
              </w:rPr>
              <w:t>4</w:t>
            </w:r>
            <w:r>
              <w:rPr>
                <w:rFonts w:hint="eastAsia" w:ascii="宋体" w:hAnsi="宋体" w:cs="宋体"/>
                <w:szCs w:val="21"/>
              </w:rPr>
              <w:t>度</w:t>
            </w:r>
            <w:r>
              <w:rPr>
                <w:rFonts w:hint="eastAsia" w:ascii="宋体" w:hAnsi="宋体" w:cs="宋体"/>
                <w:szCs w:val="21"/>
                <w:u w:val="single"/>
              </w:rPr>
              <w:t xml:space="preserve"> </w:t>
            </w:r>
            <w:r>
              <w:rPr>
                <w:rFonts w:ascii="宋体" w:hAnsi="宋体" w:cs="宋体"/>
                <w:szCs w:val="21"/>
                <w:u w:val="single"/>
              </w:rPr>
              <w:t xml:space="preserve">07 </w:t>
            </w:r>
            <w:r>
              <w:rPr>
                <w:rFonts w:hint="eastAsia" w:ascii="宋体" w:hAnsi="宋体" w:cs="宋体"/>
                <w:szCs w:val="21"/>
              </w:rPr>
              <w:t>分</w:t>
            </w:r>
            <w:r>
              <w:rPr>
                <w:rFonts w:ascii="宋体" w:hAnsi="宋体" w:cs="宋体"/>
                <w:szCs w:val="21"/>
                <w:u w:val="single"/>
              </w:rPr>
              <w:t>18</w:t>
            </w:r>
            <w:r>
              <w:rPr>
                <w:rFonts w:hint="eastAsia" w:ascii="宋体" w:hAnsi="宋体" w:cs="宋体"/>
                <w:szCs w:val="21"/>
                <w:u w:val="single"/>
              </w:rPr>
              <w:t>.</w:t>
            </w:r>
            <w:r>
              <w:rPr>
                <w:rFonts w:ascii="宋体" w:hAnsi="宋体" w:cs="宋体"/>
                <w:szCs w:val="21"/>
                <w:u w:val="single"/>
              </w:rPr>
              <w:t xml:space="preserve">950 </w:t>
            </w:r>
            <w:r>
              <w:rPr>
                <w:rFonts w:hint="eastAsia" w:ascii="宋体" w:hAnsi="宋体" w:cs="宋体"/>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05"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国民经济</w:t>
            </w:r>
          </w:p>
          <w:p>
            <w:pPr>
              <w:adjustRightInd w:val="0"/>
              <w:snapToGrid w:val="0"/>
              <w:jc w:val="center"/>
              <w:rPr>
                <w:rFonts w:ascii="宋体" w:hAnsi="宋体" w:cs="宋体"/>
                <w:szCs w:val="21"/>
              </w:rPr>
            </w:pPr>
            <w:r>
              <w:rPr>
                <w:rFonts w:hint="eastAsia" w:ascii="宋体" w:hAnsi="宋体" w:cs="宋体"/>
                <w:szCs w:val="21"/>
              </w:rPr>
              <w:t>行业类别</w:t>
            </w:r>
          </w:p>
        </w:tc>
        <w:tc>
          <w:tcPr>
            <w:tcW w:w="1719" w:type="dxa"/>
            <w:vAlign w:val="center"/>
          </w:tcPr>
          <w:p>
            <w:pPr>
              <w:adjustRightInd w:val="0"/>
              <w:snapToGrid w:val="0"/>
              <w:jc w:val="center"/>
              <w:rPr>
                <w:rFonts w:ascii="宋体" w:hAnsi="宋体" w:cs="宋体"/>
                <w:szCs w:val="21"/>
              </w:rPr>
            </w:pPr>
            <w:r>
              <w:rPr>
                <w:rFonts w:hint="eastAsia" w:ascii="宋体" w:hAnsi="宋体" w:cs="宋体"/>
                <w:szCs w:val="21"/>
              </w:rPr>
              <w:t>刨花板制造</w:t>
            </w:r>
          </w:p>
          <w:p>
            <w:pPr>
              <w:adjustRightInd w:val="0"/>
              <w:snapToGrid w:val="0"/>
              <w:jc w:val="center"/>
              <w:rPr>
                <w:rFonts w:ascii="宋体" w:hAnsi="宋体" w:cs="宋体"/>
                <w:szCs w:val="21"/>
              </w:rPr>
            </w:pPr>
            <w:r>
              <w:rPr>
                <w:rFonts w:hint="eastAsia" w:ascii="宋体" w:hAnsi="宋体" w:cs="宋体"/>
                <w:szCs w:val="21"/>
              </w:rPr>
              <w:t>（C2023）</w:t>
            </w:r>
          </w:p>
        </w:tc>
        <w:tc>
          <w:tcPr>
            <w:tcW w:w="2008" w:type="dxa"/>
            <w:vAlign w:val="center"/>
          </w:tcPr>
          <w:p>
            <w:pPr>
              <w:adjustRightInd w:val="0"/>
              <w:snapToGrid w:val="0"/>
              <w:jc w:val="center"/>
              <w:rPr>
                <w:rFonts w:ascii="宋体" w:hAnsi="宋体" w:cs="宋体"/>
                <w:szCs w:val="21"/>
              </w:rPr>
            </w:pPr>
            <w:bookmarkStart w:id="3" w:name="_Hlk49843745"/>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行业类别</w:t>
            </w:r>
            <w:bookmarkEnd w:id="3"/>
          </w:p>
        </w:tc>
        <w:tc>
          <w:tcPr>
            <w:tcW w:w="2761" w:type="dxa"/>
            <w:gridSpan w:val="2"/>
            <w:vAlign w:val="center"/>
          </w:tcPr>
          <w:p>
            <w:pPr>
              <w:adjustRightInd w:val="0"/>
              <w:snapToGrid w:val="0"/>
              <w:rPr>
                <w:rFonts w:ascii="宋体" w:hAnsi="宋体" w:cs="宋体"/>
                <w:szCs w:val="21"/>
              </w:rPr>
            </w:pPr>
            <w:r>
              <w:rPr>
                <w:rFonts w:hint="eastAsia" w:ascii="宋体" w:hAnsi="宋体" w:cs="宋体"/>
                <w:szCs w:val="21"/>
              </w:rPr>
              <w:t xml:space="preserve">十七、木材加工和木、竹、藤、棕、草制品业 20 </w:t>
            </w:r>
          </w:p>
          <w:p>
            <w:pPr>
              <w:adjustRightInd w:val="0"/>
              <w:snapToGrid w:val="0"/>
              <w:rPr>
                <w:rFonts w:ascii="宋体" w:hAnsi="宋体" w:cs="宋体"/>
                <w:szCs w:val="21"/>
              </w:rPr>
            </w:pPr>
            <w:r>
              <w:rPr>
                <w:rFonts w:hint="eastAsia" w:ascii="宋体" w:hAnsi="宋体" w:cs="宋体"/>
                <w:szCs w:val="21"/>
              </w:rPr>
              <w:t>34 人造板制造202</w:t>
            </w:r>
          </w:p>
          <w:p>
            <w:pPr>
              <w:adjustRightInd w:val="0"/>
              <w:snapToGrid w:val="0"/>
              <w:rPr>
                <w:rFonts w:ascii="宋体" w:hAnsi="宋体" w:cs="宋体"/>
                <w:szCs w:val="21"/>
              </w:rPr>
            </w:pPr>
            <w:r>
              <w:rPr>
                <w:rFonts w:hint="eastAsia" w:ascii="宋体" w:hAnsi="宋体" w:cs="宋体"/>
                <w:szCs w:val="21"/>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1719" w:type="dxa"/>
            <w:vAlign w:val="center"/>
          </w:tcPr>
          <w:p>
            <w:pPr>
              <w:ind w:firstLine="240" w:firstLineChars="100"/>
              <w:jc w:val="left"/>
              <w:rPr>
                <w:rFonts w:ascii="宋体" w:hAnsi="宋体" w:cs="宋体"/>
                <w:szCs w:val="21"/>
              </w:rPr>
            </w:pPr>
            <w:r>
              <w:rPr>
                <w:rFonts w:hint="eastAsia" w:ascii="宋体" w:hAnsi="宋体" w:cs="宋体"/>
                <w:szCs w:val="21"/>
              </w:rPr>
              <w:t>新建（迁建）</w:t>
            </w:r>
          </w:p>
          <w:p>
            <w:pPr>
              <w:ind w:firstLine="240" w:firstLineChars="100"/>
              <w:jc w:val="left"/>
              <w:rPr>
                <w:rFonts w:ascii="宋体" w:hAnsi="宋体" w:cs="宋体"/>
                <w:szCs w:val="21"/>
              </w:rPr>
            </w:pPr>
            <w:r>
              <w:rPr>
                <w:rFonts w:hint="eastAsia" w:ascii="宋体" w:hAnsi="宋体" w:cs="宋体"/>
                <w:szCs w:val="21"/>
              </w:rPr>
              <w:t>改建</w:t>
            </w:r>
          </w:p>
          <w:p>
            <w:pPr>
              <w:ind w:firstLine="240" w:firstLineChars="100"/>
              <w:jc w:val="left"/>
              <w:rPr>
                <w:rFonts w:ascii="宋体" w:hAnsi="宋体" w:cs="宋体"/>
                <w:szCs w:val="21"/>
              </w:rPr>
            </w:pPr>
            <w:r>
              <w:rPr>
                <w:rFonts w:hint="eastAsia" w:ascii="宋体" w:hAnsi="宋体" w:cs="宋体"/>
                <w:szCs w:val="21"/>
              </w:rPr>
              <w:t>扩建</w:t>
            </w:r>
          </w:p>
          <w:p>
            <w:pPr>
              <w:jc w:val="left"/>
              <w:rPr>
                <w:rFonts w:ascii="宋体" w:hAnsi="宋体" w:cs="宋体"/>
                <w:szCs w:val="21"/>
              </w:rPr>
            </w:pPr>
            <w:r>
              <w:rPr>
                <w:rFonts w:hint="eastAsia" w:ascii="MS Mincho" w:hAnsi="MS Mincho" w:eastAsia="MS Mincho" w:cs="MS Mincho"/>
                <w:szCs w:val="21"/>
              </w:rPr>
              <w:t>✓</w:t>
            </w:r>
            <w:r>
              <w:rPr>
                <w:rFonts w:hint="eastAsia" w:ascii="宋体" w:hAnsi="宋体" w:cs="宋体"/>
                <w:szCs w:val="21"/>
              </w:rPr>
              <w:t>技术改造</w:t>
            </w:r>
          </w:p>
        </w:tc>
        <w:tc>
          <w:tcPr>
            <w:tcW w:w="2008" w:type="dxa"/>
            <w:vAlign w:val="center"/>
          </w:tcPr>
          <w:p>
            <w:pPr>
              <w:adjustRightInd w:val="0"/>
              <w:snapToGrid w:val="0"/>
              <w:jc w:val="center"/>
              <w:rPr>
                <w:rFonts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761" w:type="dxa"/>
            <w:gridSpan w:val="2"/>
            <w:vAlign w:val="center"/>
          </w:tcPr>
          <w:p>
            <w:pPr>
              <w:jc w:val="left"/>
              <w:rPr>
                <w:rFonts w:ascii="宋体" w:hAnsi="宋体" w:cs="宋体"/>
                <w:szCs w:val="21"/>
              </w:rPr>
            </w:pPr>
            <w:r>
              <w:rPr>
                <w:rFonts w:hint="eastAsia" w:ascii="MS Mincho" w:hAnsi="MS Mincho" w:eastAsia="MS Mincho" w:cs="MS Mincho"/>
                <w:szCs w:val="21"/>
              </w:rPr>
              <w:t>✓</w:t>
            </w:r>
            <w:r>
              <w:rPr>
                <w:rFonts w:hint="eastAsia" w:ascii="宋体" w:hAnsi="宋体" w:cs="宋体"/>
                <w:szCs w:val="21"/>
              </w:rPr>
              <w:t>首次申报项目</w:t>
            </w:r>
            <w:r>
              <w:rPr>
                <w:rFonts w:ascii="宋体" w:hAnsi="宋体" w:cs="宋体"/>
                <w:szCs w:val="21"/>
              </w:rPr>
              <w:t xml:space="preserve">             </w:t>
            </w:r>
          </w:p>
          <w:p>
            <w:pPr>
              <w:ind w:firstLine="240" w:firstLineChars="100"/>
              <w:jc w:val="left"/>
              <w:rPr>
                <w:rFonts w:ascii="宋体" w:hAnsi="宋体" w:cs="宋体"/>
                <w:szCs w:val="21"/>
              </w:rPr>
            </w:pPr>
            <w:r>
              <w:rPr>
                <w:rFonts w:hint="eastAsia" w:ascii="宋体" w:hAnsi="宋体" w:cs="宋体"/>
                <w:szCs w:val="21"/>
              </w:rPr>
              <w:t>不予批准后再次申报项目</w:t>
            </w:r>
          </w:p>
          <w:p>
            <w:pPr>
              <w:ind w:firstLine="240" w:firstLineChars="100"/>
              <w:jc w:val="left"/>
              <w:rPr>
                <w:rFonts w:ascii="宋体" w:hAnsi="宋体" w:cs="宋体"/>
                <w:szCs w:val="21"/>
              </w:rPr>
            </w:pPr>
            <w:r>
              <w:rPr>
                <w:rFonts w:hint="eastAsia" w:ascii="宋体" w:hAnsi="宋体" w:cs="宋体"/>
                <w:szCs w:val="21"/>
              </w:rPr>
              <w:t>超五年重新审核项目</w:t>
            </w:r>
            <w:r>
              <w:rPr>
                <w:rFonts w:ascii="宋体" w:hAnsi="宋体" w:cs="宋体"/>
                <w:szCs w:val="21"/>
              </w:rPr>
              <w:t xml:space="preserve">     </w:t>
            </w:r>
          </w:p>
          <w:p>
            <w:pPr>
              <w:ind w:firstLine="240" w:firstLineChars="100"/>
              <w:jc w:val="left"/>
              <w:rPr>
                <w:rFonts w:ascii="宋体" w:hAnsi="宋体" w:cs="宋体"/>
                <w:szCs w:val="21"/>
              </w:rPr>
            </w:pPr>
            <w:r>
              <w:rPr>
                <w:rFonts w:hint="eastAsia" w:ascii="宋体" w:hAnsi="宋体" w:cs="宋体"/>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1719" w:type="dxa"/>
            <w:vAlign w:val="center"/>
          </w:tcPr>
          <w:p>
            <w:pPr>
              <w:adjustRightInd w:val="0"/>
              <w:snapToGrid w:val="0"/>
              <w:jc w:val="center"/>
              <w:rPr>
                <w:rFonts w:ascii="宋体" w:hAnsi="宋体" w:cs="宋体"/>
                <w:szCs w:val="21"/>
              </w:rPr>
            </w:pPr>
            <w:r>
              <w:rPr>
                <w:rFonts w:hint="eastAsia" w:ascii="宋体" w:hAnsi="宋体" w:cs="宋体"/>
                <w:szCs w:val="21"/>
              </w:rPr>
              <w:t>昌吉高新技术产业开发区产业发展科技局</w:t>
            </w:r>
          </w:p>
        </w:tc>
        <w:tc>
          <w:tcPr>
            <w:tcW w:w="2008" w:type="dxa"/>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备案）文号（选填）</w:t>
            </w:r>
          </w:p>
        </w:tc>
        <w:tc>
          <w:tcPr>
            <w:tcW w:w="2761" w:type="dxa"/>
            <w:gridSpan w:val="2"/>
            <w:vAlign w:val="center"/>
          </w:tcPr>
          <w:p>
            <w:pPr>
              <w:adjustRightInd w:val="0"/>
              <w:snapToGrid w:val="0"/>
              <w:jc w:val="center"/>
              <w:rPr>
                <w:rFonts w:ascii="宋体" w:hAnsi="宋体" w:cs="宋体"/>
                <w:szCs w:val="21"/>
              </w:rPr>
            </w:pPr>
            <w:r>
              <w:rPr>
                <w:rFonts w:hint="eastAsia" w:ascii="宋体" w:hAnsi="宋体" w:cs="宋体"/>
                <w:szCs w:val="21"/>
              </w:rPr>
              <w:t>昌高产发[</w:t>
            </w:r>
            <w:r>
              <w:rPr>
                <w:rFonts w:ascii="宋体" w:hAnsi="宋体" w:cs="宋体"/>
                <w:szCs w:val="21"/>
              </w:rPr>
              <w:t>2021]90</w:t>
            </w:r>
            <w:r>
              <w:rPr>
                <w:rFonts w:hint="eastAsia" w:ascii="宋体" w:hAnsi="宋体" w:cs="宋体"/>
                <w:szCs w:val="21"/>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1719" w:type="dxa"/>
            <w:vAlign w:val="center"/>
          </w:tcPr>
          <w:p>
            <w:pPr>
              <w:adjustRightInd w:val="0"/>
              <w:snapToGrid w:val="0"/>
              <w:jc w:val="center"/>
              <w:rPr>
                <w:rFonts w:ascii="宋体" w:hAnsi="宋体" w:cs="宋体"/>
                <w:szCs w:val="21"/>
              </w:rPr>
            </w:pPr>
            <w:r>
              <w:rPr>
                <w:rFonts w:ascii="宋体" w:hAnsi="宋体" w:cs="宋体"/>
                <w:szCs w:val="21"/>
              </w:rPr>
              <w:t>3500</w:t>
            </w:r>
          </w:p>
        </w:tc>
        <w:tc>
          <w:tcPr>
            <w:tcW w:w="2008"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761" w:type="dxa"/>
            <w:gridSpan w:val="2"/>
            <w:vAlign w:val="center"/>
          </w:tcPr>
          <w:p>
            <w:pPr>
              <w:adjustRightInd w:val="0"/>
              <w:snapToGrid w:val="0"/>
              <w:jc w:val="center"/>
              <w:rPr>
                <w:rFonts w:ascii="宋体" w:hAnsi="宋体" w:cs="宋体"/>
                <w:szCs w:val="21"/>
              </w:rPr>
            </w:pPr>
            <w:r>
              <w:rPr>
                <w:rFonts w:ascii="宋体" w:hAnsi="宋体" w:cs="宋体"/>
                <w:szCs w:val="21"/>
              </w:rPr>
              <w:t>123</w:t>
            </w:r>
            <w:r>
              <w:rPr>
                <w:rFonts w:hint="eastAsia" w:ascii="宋体" w:hAnsi="宋体" w:cs="宋体"/>
                <w:szCs w:val="21"/>
              </w:rPr>
              <w:t>.</w:t>
            </w:r>
            <w:r>
              <w:rPr>
                <w:rFonts w:ascii="宋体" w:hAnsi="宋体" w:cs="宋体"/>
                <w:szCs w:val="21"/>
              </w:rPr>
              <w:t>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1719" w:type="dxa"/>
            <w:vAlign w:val="center"/>
          </w:tcPr>
          <w:p>
            <w:pPr>
              <w:adjustRightInd w:val="0"/>
              <w:snapToGrid w:val="0"/>
              <w:jc w:val="center"/>
              <w:rPr>
                <w:rFonts w:ascii="宋体" w:hAnsi="宋体" w:cs="宋体"/>
                <w:szCs w:val="21"/>
              </w:rPr>
            </w:pPr>
            <w:r>
              <w:rPr>
                <w:rFonts w:ascii="宋体" w:hAnsi="宋体" w:cs="宋体"/>
                <w:szCs w:val="21"/>
              </w:rPr>
              <w:t>3</w:t>
            </w:r>
            <w:r>
              <w:rPr>
                <w:rFonts w:hint="eastAsia" w:ascii="宋体" w:hAnsi="宋体" w:cs="宋体"/>
                <w:szCs w:val="21"/>
              </w:rPr>
              <w:t>.</w:t>
            </w:r>
            <w:r>
              <w:rPr>
                <w:rFonts w:ascii="宋体" w:hAnsi="宋体" w:cs="宋体"/>
                <w:szCs w:val="21"/>
              </w:rPr>
              <w:t>54</w:t>
            </w:r>
          </w:p>
        </w:tc>
        <w:tc>
          <w:tcPr>
            <w:tcW w:w="2008"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761" w:type="dxa"/>
            <w:gridSpan w:val="2"/>
            <w:vAlign w:val="center"/>
          </w:tcPr>
          <w:p>
            <w:pPr>
              <w:adjustRightInd w:val="0"/>
              <w:snapToGrid w:val="0"/>
              <w:jc w:val="center"/>
              <w:rPr>
                <w:rFonts w:ascii="宋体" w:hAnsi="宋体" w:cs="宋体"/>
                <w:szCs w:val="21"/>
              </w:rPr>
            </w:pPr>
            <w:r>
              <w:rPr>
                <w:rFonts w:hint="eastAsia" w:ascii="宋体" w:hAnsi="宋体" w:cs="宋体"/>
                <w:szCs w:val="21"/>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是否开工建设</w:t>
            </w:r>
          </w:p>
        </w:tc>
        <w:tc>
          <w:tcPr>
            <w:tcW w:w="1719" w:type="dxa"/>
            <w:vAlign w:val="center"/>
          </w:tcPr>
          <w:p>
            <w:pPr>
              <w:adjustRightInd w:val="0"/>
              <w:snapToGrid w:val="0"/>
              <w:rPr>
                <w:rFonts w:ascii="宋体" w:hAnsi="宋体" w:cs="宋体"/>
                <w:szCs w:val="21"/>
              </w:rPr>
            </w:pPr>
            <w:r>
              <w:rPr>
                <w:rFonts w:hint="eastAsia" w:ascii="MS Mincho" w:hAnsi="MS Mincho" w:eastAsia="MS Mincho" w:cs="MS Mincho"/>
                <w:szCs w:val="21"/>
              </w:rPr>
              <w:t>✓</w:t>
            </w:r>
            <w:r>
              <w:rPr>
                <w:rFonts w:hint="eastAsia" w:ascii="宋体" w:hAnsi="宋体" w:cs="宋体"/>
                <w:szCs w:val="21"/>
              </w:rPr>
              <w:t>否</w:t>
            </w:r>
          </w:p>
          <w:p>
            <w:pPr>
              <w:adjustRightInd w:val="0"/>
              <w:snapToGrid w:val="0"/>
              <w:ind w:firstLine="240" w:firstLineChars="100"/>
              <w:rPr>
                <w:rFonts w:ascii="宋体" w:hAnsi="宋体" w:cs="宋体"/>
                <w:szCs w:val="21"/>
              </w:rPr>
            </w:pPr>
            <w:r>
              <w:rPr>
                <w:rFonts w:hint="eastAsia" w:ascii="宋体" w:hAnsi="宋体" w:cs="宋体"/>
                <w:szCs w:val="21"/>
              </w:rPr>
              <w:t>是：</w:t>
            </w:r>
            <w:r>
              <w:rPr>
                <w:rFonts w:hint="eastAsia" w:ascii="宋体" w:hAnsi="宋体" w:cs="宋体"/>
                <w:szCs w:val="21"/>
                <w:u w:val="single"/>
              </w:rPr>
              <w:t xml:space="preserve">             </w:t>
            </w:r>
          </w:p>
        </w:tc>
        <w:tc>
          <w:tcPr>
            <w:tcW w:w="2008" w:type="dxa"/>
            <w:tcMar>
              <w:top w:w="16" w:type="dxa"/>
              <w:left w:w="16" w:type="dxa"/>
              <w:right w:w="16" w:type="dxa"/>
            </w:tcMar>
            <w:vAlign w:val="center"/>
          </w:tcPr>
          <w:p>
            <w:pPr>
              <w:adjustRightInd w:val="0"/>
              <w:snapToGrid w:val="0"/>
              <w:jc w:val="center"/>
              <w:rPr>
                <w:rFonts w:ascii="宋体" w:hAnsi="宋体" w:cs="宋体"/>
                <w:spacing w:val="-6"/>
                <w:szCs w:val="21"/>
              </w:rPr>
            </w:pPr>
            <w:r>
              <w:rPr>
                <w:rFonts w:hint="eastAsia" w:ascii="宋体" w:hAnsi="宋体" w:cs="宋体"/>
                <w:spacing w:val="-6"/>
                <w:szCs w:val="21"/>
              </w:rPr>
              <w:t>用地（用海）</w:t>
            </w:r>
          </w:p>
          <w:p>
            <w:pPr>
              <w:adjustRightInd w:val="0"/>
              <w:snapToGrid w:val="0"/>
              <w:jc w:val="center"/>
              <w:rPr>
                <w:rFonts w:ascii="宋体" w:hAnsi="宋体" w:cs="宋体"/>
                <w:szCs w:val="21"/>
              </w:rPr>
            </w:pPr>
            <w:r>
              <w:rPr>
                <w:rFonts w:hint="eastAsia" w:ascii="宋体" w:hAnsi="宋体" w:cs="宋体"/>
                <w:spacing w:val="-6"/>
                <w:szCs w:val="21"/>
              </w:rPr>
              <w:t>面积（</w:t>
            </w:r>
            <w:r>
              <w:rPr>
                <w:rFonts w:ascii="宋体" w:hAnsi="宋体" w:cs="宋体"/>
                <w:spacing w:val="-6"/>
                <w:szCs w:val="21"/>
              </w:rPr>
              <w:t>m</w:t>
            </w:r>
            <w:r>
              <w:rPr>
                <w:rFonts w:ascii="宋体" w:hAnsi="宋体" w:cs="宋体"/>
                <w:spacing w:val="-6"/>
                <w:szCs w:val="21"/>
                <w:vertAlign w:val="superscript"/>
              </w:rPr>
              <w:t>2</w:t>
            </w:r>
            <w:r>
              <w:rPr>
                <w:rFonts w:hint="eastAsia" w:ascii="宋体" w:hAnsi="宋体" w:cs="宋体"/>
                <w:spacing w:val="-6"/>
                <w:szCs w:val="21"/>
              </w:rPr>
              <w:t>）</w:t>
            </w:r>
          </w:p>
        </w:tc>
        <w:tc>
          <w:tcPr>
            <w:tcW w:w="2761" w:type="dxa"/>
            <w:gridSpan w:val="2"/>
            <w:vAlign w:val="center"/>
          </w:tcPr>
          <w:p>
            <w:pPr>
              <w:adjustRightInd w:val="0"/>
              <w:snapToGrid w:val="0"/>
              <w:jc w:val="center"/>
              <w:rPr>
                <w:rFonts w:ascii="宋体" w:hAnsi="宋体" w:cs="宋体"/>
                <w:szCs w:val="21"/>
              </w:rPr>
            </w:pPr>
            <w:r>
              <w:rPr>
                <w:rFonts w:ascii="宋体" w:hAnsi="宋体" w:cs="宋体"/>
                <w:szCs w:val="21"/>
              </w:rPr>
              <w:t>0</w:t>
            </w:r>
            <w:r>
              <w:rPr>
                <w:rFonts w:hint="eastAsia" w:ascii="宋体" w:hAnsi="宋体" w:cs="宋体"/>
                <w:szCs w:val="21"/>
              </w:rPr>
              <w:t>（不新增占地面积）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382"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6488" w:type="dxa"/>
            <w:gridSpan w:val="4"/>
            <w:vAlign w:val="center"/>
          </w:tcPr>
          <w:p>
            <w:pPr>
              <w:autoSpaceDE w:val="0"/>
              <w:autoSpaceDN w:val="0"/>
              <w:adjustRightInd w:val="0"/>
              <w:snapToGrid w:val="0"/>
              <w:spacing w:line="360" w:lineRule="auto"/>
              <w:ind w:firstLine="480" w:firstLineChars="200"/>
              <w:rPr>
                <w:rFonts w:ascii="宋体" w:hAnsi="宋体" w:cs="宋体"/>
                <w:kern w:val="0"/>
                <w:szCs w:val="21"/>
              </w:rPr>
            </w:pPr>
            <w:r>
              <w:rPr>
                <w:rFonts w:hint="eastAsia" w:ascii="宋体" w:hAnsi="宋体" w:cs="宋体"/>
                <w:kern w:val="0"/>
                <w:szCs w:val="21"/>
              </w:rPr>
              <w:t>依据《建设项目环境影响报告表编制技术指南-污染影响类》专项评价设置原则表，本项目运营期产生甲醛废气，属于《有毒有害大气污染物名录》的污染物，且厂界外500米范围内有环境空气保护目标（新户村），需设置大气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6488" w:type="dxa"/>
            <w:gridSpan w:val="4"/>
            <w:vAlign w:val="center"/>
          </w:tcPr>
          <w:p>
            <w:pPr>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规划文件名称：《昌吉高新技术产业开发区总体规划（2014-2030年）》</w:t>
            </w:r>
          </w:p>
          <w:p>
            <w:pPr>
              <w:autoSpaceDE w:val="0"/>
              <w:autoSpaceDN w:val="0"/>
              <w:adjustRightInd w:val="0"/>
              <w:snapToGrid w:val="0"/>
              <w:spacing w:line="360" w:lineRule="auto"/>
              <w:jc w:val="center"/>
              <w:rPr>
                <w:rFonts w:ascii="宋体" w:hAnsi="宋体" w:cs="宋体"/>
                <w:kern w:val="0"/>
                <w:szCs w:val="21"/>
              </w:rPr>
            </w:pPr>
            <w:r>
              <w:rPr>
                <w:rFonts w:hint="eastAsia"/>
                <w:color w:val="000000" w:themeColor="text1"/>
                <w14:textFill>
                  <w14:solidFill>
                    <w14:schemeClr w14:val="tx1"/>
                  </w14:solidFill>
                </w14:textFill>
              </w:rPr>
              <w:t>根据规划，昌吉高新技术产业开发区规划建设用地总面积51.00k</w:t>
            </w:r>
            <w:r>
              <w:rPr>
                <w:rFonts w:hint="eastAsia"/>
                <w:color w:val="000000" w:themeColor="text1"/>
                <w:sz w:val="21"/>
                <w:szCs w:val="21"/>
                <w14:textFill>
                  <w14:solidFill>
                    <w14:schemeClr w14:val="tx1"/>
                  </w14:solidFill>
                </w14:textFill>
              </w:rPr>
              <w:t>m</w:t>
            </w:r>
            <w:r>
              <w:rPr>
                <w:rFonts w:hint="eastAsia"/>
                <w:color w:val="000000" w:themeColor="text1"/>
                <w:sz w:val="21"/>
                <w:szCs w:val="21"/>
                <w:vertAlign w:val="superscript"/>
                <w14:textFill>
                  <w14:solidFill>
                    <w14:schemeClr w14:val="tx1"/>
                  </w14:solidFill>
                </w14:textFill>
              </w:rPr>
              <w:t>2</w:t>
            </w:r>
            <w:r>
              <w:rPr>
                <w:rFonts w:hint="eastAsia"/>
                <w:color w:val="000000" w:themeColor="text1"/>
                <w14:textFill>
                  <w14:solidFill>
                    <w14:schemeClr w14:val="tx1"/>
                  </w14:solidFill>
                </w14:textFill>
              </w:rPr>
              <w:t>。东到榆树沟镇行政边界，西到呼图壁边界，南到创新大道和乌奎高速路，北到S201省道和科兴路。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6" w:hRule="atLeast"/>
          <w:jc w:val="center"/>
        </w:trPr>
        <w:tc>
          <w:tcPr>
            <w:tcW w:w="2382" w:type="dxa"/>
            <w:vAlign w:val="center"/>
          </w:tcPr>
          <w:p>
            <w:pPr>
              <w:adjustRightInd w:val="0"/>
              <w:snapToGrid w:val="0"/>
              <w:spacing w:line="360" w:lineRule="auto"/>
              <w:jc w:val="center"/>
              <w:rPr>
                <w:rFonts w:ascii="宋体" w:hAnsi="宋体" w:cs="宋体"/>
                <w:szCs w:val="21"/>
              </w:rPr>
            </w:pPr>
            <w:r>
              <w:rPr>
                <w:rFonts w:hint="eastAsia" w:ascii="宋体" w:hAnsi="宋体" w:cs="宋体"/>
                <w:szCs w:val="21"/>
              </w:rPr>
              <w:t>规划环境影响</w:t>
            </w:r>
          </w:p>
          <w:p>
            <w:pPr>
              <w:adjustRightInd w:val="0"/>
              <w:snapToGrid w:val="0"/>
              <w:spacing w:line="360" w:lineRule="auto"/>
              <w:jc w:val="center"/>
              <w:rPr>
                <w:rFonts w:ascii="宋体" w:hAnsi="宋体" w:cs="宋体"/>
                <w:kern w:val="0"/>
                <w:szCs w:val="21"/>
              </w:rPr>
            </w:pPr>
            <w:r>
              <w:rPr>
                <w:rFonts w:hint="eastAsia" w:ascii="宋体" w:hAnsi="宋体" w:cs="宋体"/>
                <w:szCs w:val="21"/>
              </w:rPr>
              <w:t>评价情况</w:t>
            </w:r>
          </w:p>
        </w:tc>
        <w:tc>
          <w:tcPr>
            <w:tcW w:w="6488" w:type="dxa"/>
            <w:gridSpan w:val="4"/>
            <w:vAlign w:val="center"/>
          </w:tcPr>
          <w:p>
            <w:pPr>
              <w:autoSpaceDE w:val="0"/>
              <w:autoSpaceDN w:val="0"/>
              <w:adjustRightInd w:val="0"/>
              <w:snapToGrid w:val="0"/>
              <w:spacing w:line="360" w:lineRule="auto"/>
              <w:jc w:val="center"/>
              <w:rPr>
                <w:rFonts w:ascii="宋体" w:hAnsi="宋体" w:cs="宋体"/>
                <w:kern w:val="0"/>
                <w:szCs w:val="21"/>
              </w:rPr>
            </w:pPr>
            <w:r>
              <w:rPr>
                <w:kern w:val="0"/>
              </w:rPr>
              <w:t>2015年</w:t>
            </w:r>
            <w:r>
              <w:rPr>
                <w:rFonts w:hint="eastAsia"/>
                <w:kern w:val="0"/>
              </w:rPr>
              <w:t>1</w:t>
            </w:r>
            <w:r>
              <w:rPr>
                <w:kern w:val="0"/>
              </w:rPr>
              <w:t>月</w:t>
            </w:r>
            <w:r>
              <w:rPr>
                <w:rFonts w:hint="eastAsia"/>
                <w:kern w:val="0"/>
              </w:rPr>
              <w:t>5</w:t>
            </w:r>
            <w:r>
              <w:rPr>
                <w:kern w:val="0"/>
              </w:rPr>
              <w:t>日，昌吉高新技术产业开发区总体规划（2014-2030）环境影响报告书通过新疆维吾尔自治区环境保护厅组织的审查会，并于</w:t>
            </w:r>
            <w:r>
              <w:rPr>
                <w:rFonts w:hint="eastAsia"/>
                <w:kern w:val="0"/>
              </w:rPr>
              <w:t>2015年3月31日</w:t>
            </w:r>
            <w:r>
              <w:rPr>
                <w:kern w:val="0"/>
              </w:rPr>
              <w:t>取得《关于昌吉高新技术产业开发区总体规划（2014-2030）环境影响报告书的审查意见》（新环函[2015]306号）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spacing w:line="360" w:lineRule="auto"/>
              <w:jc w:val="center"/>
              <w:rPr>
                <w:rFonts w:ascii="宋体" w:hAnsi="宋体" w:cs="宋体"/>
                <w:kern w:val="0"/>
                <w:szCs w:val="21"/>
              </w:rPr>
            </w:pPr>
            <w:r>
              <w:rPr>
                <w:rFonts w:hint="eastAsia" w:ascii="宋体" w:hAnsi="宋体" w:cs="宋体"/>
                <w:kern w:val="0"/>
                <w:szCs w:val="21"/>
              </w:rPr>
              <w:t>规划及规划环境</w:t>
            </w:r>
          </w:p>
          <w:p>
            <w:pPr>
              <w:autoSpaceDE w:val="0"/>
              <w:autoSpaceDN w:val="0"/>
              <w:adjustRightInd w:val="0"/>
              <w:snapToGrid w:val="0"/>
              <w:spacing w:line="360" w:lineRule="auto"/>
              <w:jc w:val="center"/>
              <w:rPr>
                <w:rFonts w:ascii="宋体" w:hAnsi="宋体" w:cs="宋体"/>
                <w:kern w:val="0"/>
                <w:szCs w:val="21"/>
              </w:rPr>
            </w:pPr>
            <w:r>
              <w:rPr>
                <w:rFonts w:hint="eastAsia" w:ascii="宋体" w:hAnsi="宋体" w:cs="宋体"/>
                <w:kern w:val="0"/>
                <w:szCs w:val="21"/>
              </w:rPr>
              <w:t>影响评价符合性分析</w:t>
            </w:r>
          </w:p>
        </w:tc>
        <w:tc>
          <w:tcPr>
            <w:tcW w:w="6488" w:type="dxa"/>
            <w:gridSpan w:val="4"/>
            <w:vAlign w:val="center"/>
          </w:tcPr>
          <w:p>
            <w:pPr>
              <w:autoSpaceDE w:val="0"/>
              <w:autoSpaceDN w:val="0"/>
              <w:adjustRightInd w:val="0"/>
              <w:snapToGrid w:val="0"/>
              <w:spacing w:before="120" w:beforeLines="50" w:line="360" w:lineRule="auto"/>
              <w:rPr>
                <w:b/>
                <w:kern w:val="0"/>
              </w:rPr>
            </w:pPr>
            <w:r>
              <w:rPr>
                <w:b/>
                <w:kern w:val="0"/>
              </w:rPr>
              <w:t>1</w:t>
            </w:r>
            <w:r>
              <w:rPr>
                <w:rFonts w:hint="eastAsia"/>
                <w:b/>
                <w:kern w:val="0"/>
              </w:rPr>
              <w:t xml:space="preserve"> </w:t>
            </w:r>
            <w:r>
              <w:rPr>
                <w:b/>
                <w:kern w:val="0"/>
              </w:rPr>
              <w:t>与《昌吉高新技术产业开发区总体规划（2014-2030）》符合性分析</w:t>
            </w:r>
          </w:p>
          <w:p>
            <w:pPr>
              <w:autoSpaceDE w:val="0"/>
              <w:autoSpaceDN w:val="0"/>
              <w:adjustRightInd w:val="0"/>
              <w:snapToGrid w:val="0"/>
              <w:spacing w:line="360" w:lineRule="auto"/>
              <w:ind w:firstLine="480" w:firstLineChars="200"/>
              <w:rPr>
                <w:kern w:val="0"/>
              </w:rPr>
            </w:pPr>
            <w:r>
              <w:rPr>
                <w:kern w:val="0"/>
              </w:rPr>
              <w:t>（1）园区规划范围符合性分析</w:t>
            </w:r>
          </w:p>
          <w:p>
            <w:pPr>
              <w:autoSpaceDE w:val="0"/>
              <w:autoSpaceDN w:val="0"/>
              <w:adjustRightInd w:val="0"/>
              <w:snapToGrid w:val="0"/>
              <w:spacing w:line="360" w:lineRule="auto"/>
              <w:ind w:firstLine="480" w:firstLineChars="200"/>
              <w:rPr>
                <w:kern w:val="0"/>
              </w:rPr>
            </w:pPr>
            <w:r>
              <w:rPr>
                <w:kern w:val="0"/>
              </w:rPr>
              <w:t>根据《昌吉高新技术产业开发区总体规划（2014-2030）》，建设用地范围东到榆树沟镇行政边界，西到与呼图壁边界，南到乌奎高速路，北到S201省道和新材料产业园边界。</w:t>
            </w:r>
          </w:p>
          <w:p>
            <w:pPr>
              <w:autoSpaceDE w:val="0"/>
              <w:autoSpaceDN w:val="0"/>
              <w:adjustRightInd w:val="0"/>
              <w:snapToGrid w:val="0"/>
              <w:spacing w:line="360" w:lineRule="auto"/>
              <w:ind w:firstLine="480" w:firstLineChars="200"/>
              <w:rPr>
                <w:kern w:val="0"/>
              </w:rPr>
            </w:pPr>
            <w:r>
              <w:rPr>
                <w:kern w:val="0"/>
              </w:rPr>
              <w:t>本项目位于</w:t>
            </w:r>
            <w:r>
              <w:rPr>
                <w:rFonts w:hint="eastAsia" w:ascii="宋体" w:hAnsi="宋体" w:cs="宋体"/>
                <w:szCs w:val="21"/>
              </w:rPr>
              <w:t>新疆昌吉州昌吉市高新技术产业开发区北环西路11号</w:t>
            </w:r>
            <w:r>
              <w:rPr>
                <w:kern w:val="0"/>
              </w:rPr>
              <w:t>，</w:t>
            </w:r>
            <w:r>
              <w:rPr>
                <w:rFonts w:hint="eastAsia"/>
                <w:kern w:val="0"/>
              </w:rPr>
              <w:t>符合</w:t>
            </w:r>
            <w:r>
              <w:rPr>
                <w:kern w:val="0"/>
              </w:rPr>
              <w:t>园区规划范围。</w:t>
            </w:r>
          </w:p>
          <w:p>
            <w:pPr>
              <w:autoSpaceDE w:val="0"/>
              <w:autoSpaceDN w:val="0"/>
              <w:adjustRightInd w:val="0"/>
              <w:snapToGrid w:val="0"/>
              <w:spacing w:line="360" w:lineRule="auto"/>
              <w:ind w:firstLine="480" w:firstLineChars="200"/>
              <w:rPr>
                <w:kern w:val="0"/>
              </w:rPr>
            </w:pPr>
            <w:r>
              <w:rPr>
                <w:kern w:val="0"/>
              </w:rPr>
              <w:t>（2）园区规划发展定位符合性分析</w:t>
            </w:r>
          </w:p>
          <w:p>
            <w:pPr>
              <w:autoSpaceDE w:val="0"/>
              <w:autoSpaceDN w:val="0"/>
              <w:adjustRightInd w:val="0"/>
              <w:snapToGrid w:val="0"/>
              <w:spacing w:line="360" w:lineRule="auto"/>
              <w:ind w:firstLine="480" w:firstLineChars="200"/>
              <w:rPr>
                <w:kern w:val="0"/>
              </w:rPr>
            </w:pPr>
            <w:r>
              <w:rPr>
                <w:rFonts w:hint="eastAsia"/>
                <w:kern w:val="0"/>
              </w:rPr>
              <w:t>昌吉高新技术产业开发区构建以装备制造、生物制药、新材料、食品产业四大战略性新兴产业为主体，以新一代信息技术为新的经济增长点、以低碳节能产业为特色，以教育培训、现代物流、总部经济、安防监控服务、科技金融为主的现代服务业为配套的现代化高新技术产业园区。是新疆自治区重要先进制造业基地，昌吉州生产性服务业创新中心。</w:t>
            </w:r>
          </w:p>
          <w:p>
            <w:pPr>
              <w:autoSpaceDE w:val="0"/>
              <w:autoSpaceDN w:val="0"/>
              <w:adjustRightInd w:val="0"/>
              <w:snapToGrid w:val="0"/>
              <w:spacing w:line="360" w:lineRule="auto"/>
              <w:ind w:firstLine="480" w:firstLineChars="200"/>
              <w:rPr>
                <w:color w:val="FF0000"/>
                <w:kern w:val="0"/>
              </w:rPr>
            </w:pPr>
            <w:r>
              <w:rPr>
                <w:color w:val="FF0000"/>
                <w:kern w:val="0"/>
              </w:rPr>
              <w:t>本项目</w:t>
            </w:r>
            <w:r>
              <w:rPr>
                <w:rFonts w:hint="eastAsia"/>
                <w:color w:val="FF0000"/>
                <w:kern w:val="0"/>
              </w:rPr>
              <w:t>刨花板制造技术改造项目</w:t>
            </w:r>
            <w:r>
              <w:rPr>
                <w:color w:val="FF0000"/>
                <w:kern w:val="0"/>
              </w:rPr>
              <w:t>，</w:t>
            </w:r>
            <w:r>
              <w:rPr>
                <w:rFonts w:hint="eastAsia"/>
                <w:color w:val="FF0000"/>
                <w:kern w:val="0"/>
              </w:rPr>
              <w:t>厂区现有项目涉及脲醛树脂胶制造，位于精细化工区，</w:t>
            </w:r>
            <w:r>
              <w:rPr>
                <w:color w:val="FF0000"/>
                <w:kern w:val="0"/>
              </w:rPr>
              <w:t>与园区的产业发展规划相符，符合其入园行业要求</w:t>
            </w:r>
            <w:r>
              <w:rPr>
                <w:rFonts w:hint="eastAsia"/>
                <w:color w:val="FF0000"/>
                <w:kern w:val="0"/>
              </w:rPr>
              <w:t>。项目与园区规划布局图位置关系图见附图7。</w:t>
            </w:r>
          </w:p>
          <w:p>
            <w:pPr>
              <w:autoSpaceDE w:val="0"/>
              <w:autoSpaceDN w:val="0"/>
              <w:adjustRightInd w:val="0"/>
              <w:snapToGrid w:val="0"/>
              <w:spacing w:line="360" w:lineRule="auto"/>
              <w:ind w:firstLine="480" w:firstLineChars="200"/>
              <w:rPr>
                <w:kern w:val="0"/>
              </w:rPr>
            </w:pPr>
            <w:r>
              <w:rPr>
                <w:rFonts w:hint="eastAsia"/>
                <w:kern w:val="0"/>
              </w:rPr>
              <w:t>（3）用地符合性分析</w:t>
            </w:r>
          </w:p>
          <w:p>
            <w:pPr>
              <w:autoSpaceDE w:val="0"/>
              <w:autoSpaceDN w:val="0"/>
              <w:adjustRightInd w:val="0"/>
              <w:snapToGrid w:val="0"/>
              <w:spacing w:line="360" w:lineRule="auto"/>
              <w:ind w:firstLine="480" w:firstLineChars="200"/>
              <w:rPr>
                <w:kern w:val="0"/>
              </w:rPr>
            </w:pPr>
            <w:r>
              <w:rPr>
                <w:rFonts w:hint="eastAsia"/>
                <w:kern w:val="0"/>
              </w:rPr>
              <w:t>本项目位于昌吉高新技术产业开发区，新疆鑫汇众新型板业有限公司内部，项目用地为园区规划的二类工业用地，不属于国土资源部和国家发改委《限制用地项目目录（2012 年本）》和《禁止用地项目目录（2012 年本）》中限制类与禁止类项目，也不属于其它相关法律法规要求淘汰和限制的产业，符合园区用地规划要求。项目与园区土地利用位置图见附图6。</w:t>
            </w:r>
          </w:p>
          <w:p>
            <w:pPr>
              <w:autoSpaceDE w:val="0"/>
              <w:autoSpaceDN w:val="0"/>
              <w:adjustRightInd w:val="0"/>
              <w:snapToGrid w:val="0"/>
              <w:spacing w:line="360" w:lineRule="auto"/>
              <w:rPr>
                <w:b/>
                <w:kern w:val="0"/>
              </w:rPr>
            </w:pPr>
            <w:r>
              <w:rPr>
                <w:b/>
                <w:kern w:val="0"/>
              </w:rPr>
              <w:t>2</w:t>
            </w:r>
            <w:r>
              <w:rPr>
                <w:rFonts w:hint="eastAsia"/>
                <w:b/>
                <w:kern w:val="0"/>
              </w:rPr>
              <w:t xml:space="preserve"> </w:t>
            </w:r>
            <w:r>
              <w:rPr>
                <w:b/>
                <w:kern w:val="0"/>
              </w:rPr>
              <w:t>与《昌吉高新技术产业开发区总体规划（2014-2030）环境影响报告书》的符合性分析</w:t>
            </w:r>
          </w:p>
          <w:p>
            <w:pPr>
              <w:autoSpaceDE w:val="0"/>
              <w:autoSpaceDN w:val="0"/>
              <w:adjustRightInd w:val="0"/>
              <w:snapToGrid w:val="0"/>
              <w:spacing w:line="360" w:lineRule="auto"/>
              <w:ind w:firstLine="480" w:firstLineChars="200"/>
              <w:jc w:val="left"/>
              <w:rPr>
                <w:kern w:val="0"/>
              </w:rPr>
            </w:pPr>
            <w:r>
              <w:rPr>
                <w:kern w:val="0"/>
              </w:rPr>
              <w:t>根据《昌吉高新技术产业开发区总体规划（2014-2030）</w:t>
            </w:r>
            <w:r>
              <w:rPr>
                <w:rFonts w:hint="eastAsia"/>
                <w:kern w:val="0"/>
              </w:rPr>
              <w:t>环境影响报告书》要求，禁止不符合国家经济政策、环保政策、技术政策及工业园区的产业定位的；废水含难降解的有机物、“三致”污染物、重金属等物质含量高的项目；废水经预处理达不到园区污水处理厂接纳标准的项目；污染严重的“十五小”、及“新五小”企业项目；污染难以治理或环保设施不稳定达标的项目入园。</w:t>
            </w:r>
          </w:p>
          <w:p>
            <w:pPr>
              <w:autoSpaceDE w:val="0"/>
              <w:autoSpaceDN w:val="0"/>
              <w:adjustRightInd w:val="0"/>
              <w:snapToGrid w:val="0"/>
              <w:spacing w:line="360" w:lineRule="auto"/>
              <w:ind w:firstLine="480" w:firstLineChars="200"/>
              <w:rPr>
                <w:rFonts w:ascii="宋体" w:hAnsi="宋体" w:cs="宋体"/>
                <w:kern w:val="0"/>
                <w:szCs w:val="21"/>
              </w:rPr>
            </w:pPr>
            <w:r>
              <w:rPr>
                <w:rFonts w:hint="eastAsia"/>
                <w:kern w:val="0"/>
              </w:rPr>
              <w:t>本项目产生的废气稳定达标排放，噪声采用减震降噪达标排放，固体废物根据相关技术要求妥善处理。综上，项目投产后各污染物均能做到稳定达标排放，项目建设符合规划环评相关要求。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其他符合性分析</w:t>
            </w:r>
          </w:p>
        </w:tc>
        <w:tc>
          <w:tcPr>
            <w:tcW w:w="6488" w:type="dxa"/>
            <w:gridSpan w:val="4"/>
            <w:vAlign w:val="center"/>
          </w:tcPr>
          <w:p>
            <w:pPr>
              <w:spacing w:line="360" w:lineRule="auto"/>
              <w:ind w:firstLine="482" w:firstLineChars="200"/>
              <w:rPr>
                <w:b/>
                <w:bCs/>
                <w:lang w:val="en-GB"/>
              </w:rPr>
            </w:pPr>
            <w:r>
              <w:rPr>
                <w:b/>
                <w:bCs/>
                <w:lang w:val="en-GB"/>
              </w:rPr>
              <w:t>1、产业政策符合性分析</w:t>
            </w:r>
          </w:p>
          <w:p>
            <w:pPr>
              <w:spacing w:line="360" w:lineRule="auto"/>
              <w:ind w:firstLine="480" w:firstLineChars="200"/>
            </w:pPr>
            <w:r>
              <w:rPr>
                <w:rFonts w:hint="eastAsia"/>
              </w:rPr>
              <w:t xml:space="preserve">本项目属于人造板制造类别，属于《产业结构调整指导目录（2019 年本）》中的“鼓励类一、农林业-39、木、竹、草（包括秸秆）人造板及其复合材料技术开发及应用”。 </w:t>
            </w:r>
          </w:p>
          <w:p>
            <w:pPr>
              <w:spacing w:line="360" w:lineRule="auto"/>
              <w:ind w:firstLine="480" w:firstLineChars="200"/>
            </w:pPr>
            <w:r>
              <w:rPr>
                <w:rFonts w:hint="eastAsia"/>
              </w:rPr>
              <w:t>项目生产过程中未使用国家明令禁止的淘汰类和限制类的工艺和设备，符合国家的产业政策。</w:t>
            </w:r>
          </w:p>
          <w:p>
            <w:pPr>
              <w:autoSpaceDE w:val="0"/>
              <w:autoSpaceDN w:val="0"/>
              <w:adjustRightInd w:val="0"/>
              <w:snapToGrid w:val="0"/>
              <w:spacing w:line="360" w:lineRule="auto"/>
              <w:ind w:firstLine="482" w:firstLineChars="200"/>
              <w:jc w:val="left"/>
              <w:rPr>
                <w:b/>
                <w:bCs/>
              </w:rPr>
            </w:pPr>
            <w:r>
              <w:rPr>
                <w:b/>
                <w:kern w:val="0"/>
              </w:rPr>
              <w:t>2</w:t>
            </w:r>
            <w:r>
              <w:rPr>
                <w:rFonts w:hint="eastAsia"/>
                <w:b/>
                <w:kern w:val="0"/>
              </w:rPr>
              <w:t xml:space="preserve">、 </w:t>
            </w:r>
            <w:r>
              <w:rPr>
                <w:b/>
                <w:kern w:val="0"/>
              </w:rPr>
              <w:t>“三线一单”符合性分析</w:t>
            </w:r>
          </w:p>
          <w:p>
            <w:pPr>
              <w:autoSpaceDE w:val="0"/>
              <w:autoSpaceDN w:val="0"/>
              <w:adjustRightInd w:val="0"/>
              <w:spacing w:after="120" w:afterLines="50"/>
              <w:ind w:firstLine="480" w:firstLineChars="200"/>
              <w:jc w:val="left"/>
              <w:rPr>
                <w:rFonts w:ascii="宋体" w:hAnsi="宋体"/>
                <w:b/>
                <w:bCs/>
              </w:rPr>
            </w:pPr>
            <w:r>
              <w:t>本项目与“三线一单”符合性分析见表1</w:t>
            </w:r>
            <w:r>
              <w:rPr>
                <w:rFonts w:hint="eastAsia"/>
              </w:rPr>
              <w:t>-</w:t>
            </w:r>
            <w:r>
              <w:t>1。</w:t>
            </w:r>
          </w:p>
          <w:p>
            <w:pPr>
              <w:pStyle w:val="100"/>
            </w:pPr>
            <w:r>
              <w:t>表1-</w:t>
            </w:r>
            <w:r>
              <w:rPr>
                <w:rFonts w:hint="eastAsia"/>
              </w:rPr>
              <w:t>1</w:t>
            </w:r>
            <w:r>
              <w:t>“三线一单”符合性分析一览表</w:t>
            </w:r>
          </w:p>
          <w:tbl>
            <w:tblPr>
              <w:tblStyle w:val="5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5"/>
              <w:gridCol w:w="4709"/>
              <w:gridCol w:w="6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vAlign w:val="center"/>
                </w:tcPr>
                <w:p>
                  <w:pPr>
                    <w:wordWrap w:val="0"/>
                    <w:topLinePunct/>
                    <w:snapToGrid w:val="0"/>
                    <w:jc w:val="center"/>
                    <w:rPr>
                      <w:b/>
                      <w:bCs/>
                      <w:sz w:val="21"/>
                      <w:szCs w:val="21"/>
                    </w:rPr>
                  </w:pPr>
                  <w:r>
                    <w:rPr>
                      <w:b/>
                      <w:bCs/>
                      <w:sz w:val="21"/>
                      <w:szCs w:val="21"/>
                    </w:rPr>
                    <w:t>内容</w:t>
                  </w:r>
                </w:p>
              </w:tc>
              <w:tc>
                <w:tcPr>
                  <w:tcW w:w="3754" w:type="pct"/>
                  <w:vAlign w:val="center"/>
                </w:tcPr>
                <w:p>
                  <w:pPr>
                    <w:wordWrap w:val="0"/>
                    <w:topLinePunct/>
                    <w:snapToGrid w:val="0"/>
                    <w:jc w:val="center"/>
                    <w:rPr>
                      <w:b/>
                      <w:bCs/>
                      <w:sz w:val="21"/>
                      <w:szCs w:val="21"/>
                    </w:rPr>
                  </w:pPr>
                  <w:r>
                    <w:rPr>
                      <w:b/>
                      <w:bCs/>
                      <w:sz w:val="21"/>
                      <w:szCs w:val="21"/>
                    </w:rPr>
                    <w:t>本项目工程概况</w:t>
                  </w:r>
                </w:p>
              </w:tc>
              <w:tc>
                <w:tcPr>
                  <w:tcW w:w="509" w:type="pct"/>
                  <w:vAlign w:val="center"/>
                </w:tcPr>
                <w:p>
                  <w:pPr>
                    <w:wordWrap w:val="0"/>
                    <w:topLinePunct/>
                    <w:snapToGrid w:val="0"/>
                    <w:jc w:val="center"/>
                    <w:rPr>
                      <w:b/>
                      <w:bCs/>
                      <w:sz w:val="21"/>
                      <w:szCs w:val="21"/>
                    </w:rPr>
                  </w:pPr>
                  <w:r>
                    <w:rPr>
                      <w:b/>
                      <w:bCs/>
                      <w:sz w:val="21"/>
                      <w:szCs w:val="21"/>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vAlign w:val="center"/>
                </w:tcPr>
                <w:p>
                  <w:pPr>
                    <w:wordWrap w:val="0"/>
                    <w:topLinePunct/>
                    <w:snapToGrid w:val="0"/>
                    <w:spacing w:line="360" w:lineRule="auto"/>
                    <w:jc w:val="center"/>
                    <w:rPr>
                      <w:sz w:val="21"/>
                      <w:szCs w:val="21"/>
                    </w:rPr>
                  </w:pPr>
                  <w:r>
                    <w:rPr>
                      <w:sz w:val="21"/>
                      <w:szCs w:val="21"/>
                    </w:rPr>
                    <w:t>生态保护红线</w:t>
                  </w:r>
                </w:p>
              </w:tc>
              <w:tc>
                <w:tcPr>
                  <w:tcW w:w="3754" w:type="pct"/>
                  <w:vAlign w:val="center"/>
                </w:tcPr>
                <w:p>
                  <w:pPr>
                    <w:wordWrap w:val="0"/>
                    <w:topLinePunct/>
                    <w:snapToGrid w:val="0"/>
                    <w:spacing w:line="360" w:lineRule="auto"/>
                    <w:jc w:val="left"/>
                    <w:rPr>
                      <w:sz w:val="21"/>
                      <w:szCs w:val="21"/>
                    </w:rPr>
                  </w:pPr>
                  <w:r>
                    <w:rPr>
                      <w:kern w:val="0"/>
                      <w:sz w:val="21"/>
                      <w:szCs w:val="21"/>
                    </w:rPr>
                    <w:t>根据目前新疆维吾尔自治区生态保护红线成果，本项目位于昌吉国家高新技术产业开发区，周边无自然保护区、饮用水水源地等生态保护目标，符合生态红线要求。</w:t>
                  </w:r>
                </w:p>
              </w:tc>
              <w:tc>
                <w:tcPr>
                  <w:tcW w:w="509" w:type="pct"/>
                  <w:vAlign w:val="center"/>
                </w:tcPr>
                <w:p>
                  <w:pPr>
                    <w:wordWrap w:val="0"/>
                    <w:topLinePunct/>
                    <w:snapToGrid w:val="0"/>
                    <w:spacing w:line="360" w:lineRule="auto"/>
                    <w:jc w:val="center"/>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vAlign w:val="center"/>
                </w:tcPr>
                <w:p>
                  <w:pPr>
                    <w:wordWrap w:val="0"/>
                    <w:topLinePunct/>
                    <w:snapToGrid w:val="0"/>
                    <w:spacing w:line="360" w:lineRule="auto"/>
                    <w:jc w:val="center"/>
                    <w:rPr>
                      <w:sz w:val="21"/>
                      <w:szCs w:val="21"/>
                    </w:rPr>
                  </w:pPr>
                  <w:r>
                    <w:rPr>
                      <w:sz w:val="21"/>
                      <w:szCs w:val="21"/>
                    </w:rPr>
                    <w:t>资源利用上线</w:t>
                  </w:r>
                </w:p>
              </w:tc>
              <w:tc>
                <w:tcPr>
                  <w:tcW w:w="3754" w:type="pct"/>
                  <w:vAlign w:val="center"/>
                </w:tcPr>
                <w:p>
                  <w:pPr>
                    <w:wordWrap w:val="0"/>
                    <w:topLinePunct/>
                    <w:snapToGrid w:val="0"/>
                    <w:spacing w:line="360" w:lineRule="auto"/>
                    <w:jc w:val="left"/>
                    <w:rPr>
                      <w:sz w:val="21"/>
                      <w:szCs w:val="21"/>
                    </w:rPr>
                  </w:pPr>
                  <w:r>
                    <w:rPr>
                      <w:kern w:val="0"/>
                      <w:sz w:val="21"/>
                      <w:szCs w:val="21"/>
                    </w:rPr>
                    <w:t>项目建设过程中所利用的资源主要为水、电、</w:t>
                  </w:r>
                  <w:r>
                    <w:rPr>
                      <w:rFonts w:hint="eastAsia"/>
                      <w:kern w:val="0"/>
                      <w:sz w:val="21"/>
                      <w:szCs w:val="21"/>
                    </w:rPr>
                    <w:t>天然气</w:t>
                  </w:r>
                  <w:r>
                    <w:rPr>
                      <w:kern w:val="0"/>
                      <w:sz w:val="21"/>
                      <w:szCs w:val="21"/>
                    </w:rPr>
                    <w:t>，均为清洁能源，项目建成后通过多方面管理，采取合理可行的防治措施，以“</w:t>
                  </w:r>
                  <w:r>
                    <w:rPr>
                      <w:rFonts w:ascii="宋体" w:hAnsi="宋体"/>
                      <w:kern w:val="0"/>
                      <w:sz w:val="21"/>
                      <w:szCs w:val="21"/>
                    </w:rPr>
                    <w:t>节能、降耗、减污</w:t>
                  </w:r>
                  <w:r>
                    <w:rPr>
                      <w:kern w:val="0"/>
                      <w:sz w:val="21"/>
                      <w:szCs w:val="21"/>
                    </w:rPr>
                    <w:t>”</w:t>
                  </w:r>
                  <w:r>
                    <w:rPr>
                      <w:rFonts w:ascii="宋体" w:hAnsi="宋体"/>
                      <w:kern w:val="0"/>
                      <w:sz w:val="21"/>
                      <w:szCs w:val="21"/>
                    </w:rPr>
                    <w:t>为目标，有</w:t>
                  </w:r>
                  <w:r>
                    <w:rPr>
                      <w:spacing w:val="-6"/>
                      <w:kern w:val="0"/>
                      <w:sz w:val="21"/>
                      <w:szCs w:val="21"/>
                    </w:rPr>
                    <w:t>效的控制污染。项目的水、电、</w:t>
                  </w:r>
                  <w:r>
                    <w:rPr>
                      <w:rFonts w:hint="eastAsia"/>
                      <w:spacing w:val="-6"/>
                      <w:kern w:val="0"/>
                      <w:sz w:val="21"/>
                      <w:szCs w:val="21"/>
                    </w:rPr>
                    <w:t>天然气</w:t>
                  </w:r>
                  <w:r>
                    <w:rPr>
                      <w:spacing w:val="-6"/>
                      <w:kern w:val="0"/>
                      <w:sz w:val="21"/>
                      <w:szCs w:val="21"/>
                    </w:rPr>
                    <w:t>等资源利用不会突破区域的资源利用上线。</w:t>
                  </w:r>
                </w:p>
              </w:tc>
              <w:tc>
                <w:tcPr>
                  <w:tcW w:w="509" w:type="pct"/>
                  <w:vAlign w:val="center"/>
                </w:tcPr>
                <w:p>
                  <w:pPr>
                    <w:wordWrap w:val="0"/>
                    <w:topLinePunct/>
                    <w:snapToGrid w:val="0"/>
                    <w:spacing w:line="360" w:lineRule="auto"/>
                    <w:jc w:val="center"/>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vAlign w:val="center"/>
                </w:tcPr>
                <w:p>
                  <w:pPr>
                    <w:wordWrap w:val="0"/>
                    <w:topLinePunct/>
                    <w:snapToGrid w:val="0"/>
                    <w:spacing w:line="360" w:lineRule="auto"/>
                    <w:jc w:val="center"/>
                    <w:rPr>
                      <w:sz w:val="21"/>
                      <w:szCs w:val="21"/>
                    </w:rPr>
                  </w:pPr>
                  <w:r>
                    <w:rPr>
                      <w:sz w:val="21"/>
                      <w:szCs w:val="21"/>
                    </w:rPr>
                    <w:t>环境质量底线</w:t>
                  </w:r>
                </w:p>
              </w:tc>
              <w:tc>
                <w:tcPr>
                  <w:tcW w:w="3754" w:type="pct"/>
                  <w:vAlign w:val="center"/>
                </w:tcPr>
                <w:p>
                  <w:pPr>
                    <w:wordWrap w:val="0"/>
                    <w:topLinePunct/>
                    <w:snapToGrid w:val="0"/>
                    <w:spacing w:line="360" w:lineRule="auto"/>
                    <w:jc w:val="left"/>
                    <w:rPr>
                      <w:sz w:val="21"/>
                      <w:szCs w:val="21"/>
                    </w:rPr>
                  </w:pPr>
                  <w:r>
                    <w:rPr>
                      <w:sz w:val="21"/>
                      <w:szCs w:val="21"/>
                    </w:rPr>
                    <w:t>大气环境：本项目生产过程中大气污染物达标排放，排放总量少，对周围环境影响小。</w:t>
                  </w:r>
                </w:p>
                <w:p>
                  <w:pPr>
                    <w:wordWrap w:val="0"/>
                    <w:topLinePunct/>
                    <w:snapToGrid w:val="0"/>
                    <w:spacing w:line="360" w:lineRule="auto"/>
                    <w:jc w:val="left"/>
                    <w:rPr>
                      <w:sz w:val="21"/>
                      <w:szCs w:val="21"/>
                    </w:rPr>
                  </w:pPr>
                  <w:r>
                    <w:rPr>
                      <w:sz w:val="21"/>
                      <w:szCs w:val="21"/>
                    </w:rPr>
                    <w:t>声环境：项目无较大的噪声源，声环境质量良好。</w:t>
                  </w:r>
                </w:p>
                <w:p>
                  <w:pPr>
                    <w:wordWrap w:val="0"/>
                    <w:topLinePunct/>
                    <w:snapToGrid w:val="0"/>
                    <w:spacing w:line="360" w:lineRule="auto"/>
                    <w:jc w:val="left"/>
                    <w:rPr>
                      <w:sz w:val="21"/>
                      <w:szCs w:val="21"/>
                    </w:rPr>
                  </w:pPr>
                  <w:r>
                    <w:rPr>
                      <w:sz w:val="21"/>
                      <w:szCs w:val="21"/>
                    </w:rPr>
                    <w:t>综上，本项目符合当地环境质量底线要求。</w:t>
                  </w:r>
                </w:p>
              </w:tc>
              <w:tc>
                <w:tcPr>
                  <w:tcW w:w="509" w:type="pct"/>
                  <w:vAlign w:val="center"/>
                </w:tcPr>
                <w:p>
                  <w:pPr>
                    <w:wordWrap w:val="0"/>
                    <w:topLinePunct/>
                    <w:snapToGrid w:val="0"/>
                    <w:spacing w:line="360" w:lineRule="auto"/>
                    <w:jc w:val="center"/>
                    <w:rPr>
                      <w:sz w:val="21"/>
                      <w:szCs w:val="21"/>
                    </w:rPr>
                  </w:pPr>
                  <w:r>
                    <w:rPr>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37" w:type="pct"/>
                  <w:vAlign w:val="center"/>
                </w:tcPr>
                <w:p>
                  <w:pPr>
                    <w:wordWrap w:val="0"/>
                    <w:topLinePunct/>
                    <w:snapToGrid w:val="0"/>
                    <w:spacing w:line="360" w:lineRule="auto"/>
                    <w:jc w:val="center"/>
                    <w:rPr>
                      <w:sz w:val="21"/>
                      <w:szCs w:val="21"/>
                    </w:rPr>
                  </w:pPr>
                  <w:r>
                    <w:rPr>
                      <w:sz w:val="21"/>
                      <w:szCs w:val="21"/>
                    </w:rPr>
                    <w:t>生态环境准入清单</w:t>
                  </w:r>
                </w:p>
              </w:tc>
              <w:tc>
                <w:tcPr>
                  <w:tcW w:w="3754" w:type="pct"/>
                  <w:vAlign w:val="center"/>
                </w:tcPr>
                <w:p>
                  <w:pPr>
                    <w:wordWrap w:val="0"/>
                    <w:topLinePunct/>
                    <w:snapToGrid w:val="0"/>
                    <w:spacing w:line="360" w:lineRule="auto"/>
                    <w:jc w:val="left"/>
                    <w:rPr>
                      <w:sz w:val="21"/>
                      <w:szCs w:val="21"/>
                    </w:rPr>
                  </w:pPr>
                  <w:r>
                    <w:rPr>
                      <w:sz w:val="21"/>
                      <w:szCs w:val="21"/>
                    </w:rPr>
                    <w:t>本项目产生的废气、噪声及固废均能得到妥善处置，符合昌吉州高新区环保政策。</w:t>
                  </w:r>
                </w:p>
              </w:tc>
              <w:tc>
                <w:tcPr>
                  <w:tcW w:w="509" w:type="pct"/>
                  <w:vAlign w:val="center"/>
                </w:tcPr>
                <w:p>
                  <w:pPr>
                    <w:wordWrap w:val="0"/>
                    <w:topLinePunct/>
                    <w:snapToGrid w:val="0"/>
                    <w:spacing w:line="360" w:lineRule="auto"/>
                    <w:jc w:val="center"/>
                    <w:rPr>
                      <w:sz w:val="21"/>
                      <w:szCs w:val="21"/>
                    </w:rPr>
                  </w:pPr>
                  <w:r>
                    <w:rPr>
                      <w:sz w:val="21"/>
                      <w:szCs w:val="21"/>
                    </w:rPr>
                    <w:t>符合</w:t>
                  </w:r>
                </w:p>
              </w:tc>
            </w:tr>
          </w:tbl>
          <w:p>
            <w:pPr>
              <w:autoSpaceDE w:val="0"/>
              <w:autoSpaceDN w:val="0"/>
              <w:adjustRightInd w:val="0"/>
              <w:snapToGrid w:val="0"/>
              <w:spacing w:before="120" w:beforeLines="50" w:line="360" w:lineRule="auto"/>
              <w:ind w:firstLine="482" w:firstLineChars="200"/>
              <w:jc w:val="left"/>
              <w:rPr>
                <w:b/>
                <w:kern w:val="0"/>
              </w:rPr>
            </w:pPr>
            <w:r>
              <w:rPr>
                <w:rFonts w:hint="eastAsia"/>
                <w:b/>
                <w:kern w:val="0"/>
              </w:rPr>
              <w:t>3、</w:t>
            </w:r>
            <w:r>
              <w:rPr>
                <w:b/>
                <w:kern w:val="0"/>
              </w:rPr>
              <w:t>与《关于加强乌鲁木齐、昌吉、石河子、五家渠区域环境同防同治的意见》相符性分析</w:t>
            </w:r>
          </w:p>
          <w:p>
            <w:pPr>
              <w:autoSpaceDE w:val="0"/>
              <w:autoSpaceDN w:val="0"/>
              <w:adjustRightInd w:val="0"/>
              <w:snapToGrid w:val="0"/>
              <w:spacing w:line="360" w:lineRule="auto"/>
              <w:ind w:firstLine="480" w:firstLineChars="200"/>
              <w:jc w:val="left"/>
              <w:rPr>
                <w:kern w:val="0"/>
              </w:rPr>
            </w:pPr>
            <w:r>
              <w:rPr>
                <w:kern w:val="0"/>
              </w:rPr>
              <w:t>乌昌石区域包括乌鲁木齐市七区一县、昌吉市、阜康市、石河子市、五家渠市、玛纳斯县、呼图壁县、沙湾县、生产建设兵团第六师、第八师、第十二师，总面积6.9万km</w:t>
            </w:r>
            <w:r>
              <w:rPr>
                <w:kern w:val="0"/>
                <w:vertAlign w:val="superscript"/>
              </w:rPr>
              <w:t>2</w:t>
            </w:r>
            <w:r>
              <w:rPr>
                <w:kern w:val="0"/>
              </w:rPr>
              <w:t>左右。区域内建成区及周边敏感区域为重点区域，总面积1.7万km</w:t>
            </w:r>
            <w:r>
              <w:rPr>
                <w:kern w:val="0"/>
                <w:vertAlign w:val="superscript"/>
              </w:rPr>
              <w:t>2</w:t>
            </w:r>
            <w:r>
              <w:rPr>
                <w:kern w:val="0"/>
              </w:rPr>
              <w:t>左右。</w:t>
            </w:r>
          </w:p>
          <w:p>
            <w:pPr>
              <w:autoSpaceDE w:val="0"/>
              <w:autoSpaceDN w:val="0"/>
              <w:adjustRightInd w:val="0"/>
              <w:snapToGrid w:val="0"/>
              <w:spacing w:line="360" w:lineRule="auto"/>
              <w:ind w:firstLine="480" w:firstLineChars="200"/>
              <w:jc w:val="left"/>
              <w:rPr>
                <w:kern w:val="0"/>
              </w:rPr>
            </w:pPr>
            <w:r>
              <w:rPr>
                <w:kern w:val="0"/>
              </w:rPr>
              <w:t>意见要求严格污染物排放浓度，认真落实《重点区域大气污染物排放特别限值的公告》（环保厅2016第45号），钢铁、石化、火电、水泥等行业和燃煤锅炉严格执行重点行业污染物排放特别限值要求。其他工业企业一律执行国家最新污染物排放标准，减少污染物排放总量。</w:t>
            </w:r>
          </w:p>
          <w:p>
            <w:pPr>
              <w:widowControl/>
              <w:adjustRightInd w:val="0"/>
              <w:snapToGrid w:val="0"/>
              <w:spacing w:line="360" w:lineRule="auto"/>
              <w:ind w:firstLine="480" w:firstLineChars="200"/>
              <w:rPr>
                <w:kern w:val="0"/>
              </w:rPr>
            </w:pPr>
            <w:r>
              <w:rPr>
                <w:kern w:val="0"/>
              </w:rPr>
              <w:t>本项目位于昌吉高新技术产业开发区，处于乌鲁木齐、昌吉、石河子、五家渠区域环境同防同治的重点区域。本项目为</w:t>
            </w:r>
            <w:r>
              <w:rPr>
                <w:rFonts w:hint="eastAsia"/>
                <w:kern w:val="0"/>
              </w:rPr>
              <w:t>消防器材</w:t>
            </w:r>
            <w:r>
              <w:rPr>
                <w:kern w:val="0"/>
              </w:rPr>
              <w:t>加工项目，不属于钢铁、石化、火电、水泥等重点行业。项目排放的污染物均达到国家最新污染物排放标准，污染物排放量较少，符合《关于加强乌鲁木齐、昌吉、石河子、五家渠区域环境同防同治的意见》相关要求。</w:t>
            </w:r>
          </w:p>
          <w:p>
            <w:pPr>
              <w:widowControl/>
              <w:adjustRightInd w:val="0"/>
              <w:snapToGrid w:val="0"/>
              <w:spacing w:line="360" w:lineRule="auto"/>
              <w:ind w:firstLine="482" w:firstLineChars="200"/>
              <w:rPr>
                <w:b/>
              </w:rPr>
            </w:pPr>
            <w:r>
              <w:rPr>
                <w:b/>
              </w:rPr>
              <w:t>4</w:t>
            </w:r>
            <w:r>
              <w:rPr>
                <w:rFonts w:hint="eastAsia"/>
                <w:b/>
              </w:rPr>
              <w:t>、</w:t>
            </w:r>
            <w:r>
              <w:rPr>
                <w:b/>
              </w:rPr>
              <w:t>与《</w:t>
            </w:r>
            <w:r>
              <w:rPr>
                <w:rFonts w:hint="eastAsia"/>
                <w:b/>
              </w:rPr>
              <w:t>关于印发&lt;自治区打赢蓝天保卫战三年行动计划（2018-2020年）&gt;的通知</w:t>
            </w:r>
            <w:r>
              <w:rPr>
                <w:b/>
              </w:rPr>
              <w:t>》相符性分析</w:t>
            </w:r>
          </w:p>
          <w:p>
            <w:pPr>
              <w:spacing w:line="360" w:lineRule="auto"/>
              <w:ind w:firstLine="480" w:firstLineChars="200"/>
            </w:pPr>
            <w:r>
              <w:t>《行动计划》提出六方面任务措施，其中第五是实施重大专项行动，大幅降低污染物排放。开展重点区域秋冬季攻坚行动，打好柴油货车污染治理攻坚战，开展工业炉窑治理专项行动，实施挥发性有机物专项整治。第六是强化区域联防联控，有效应对重污染天气。建立完善区域大气污染防治协作机制，加强重污染天气应急联动，夯实应急减排措施。</w:t>
            </w:r>
          </w:p>
          <w:p>
            <w:pPr>
              <w:spacing w:line="360" w:lineRule="auto"/>
              <w:ind w:firstLine="480" w:firstLineChars="200"/>
            </w:pPr>
            <w:r>
              <w:t>本项目位于乌鲁木齐、昌吉、石河子、五家渠区域环境同防同治的重点区域，项目运营期</w:t>
            </w:r>
            <w:r>
              <w:rPr>
                <w:rFonts w:hint="eastAsia"/>
              </w:rPr>
              <w:t>产生的颗粒物经旋风+袋式除尘器处理后达标排放，产生的有机废气经蓄热式热力燃烧炉处理后达标排放。</w:t>
            </w:r>
            <w:r>
              <w:t>符合行动计划要求。</w:t>
            </w:r>
          </w:p>
          <w:p>
            <w:pPr>
              <w:widowControl/>
              <w:adjustRightInd w:val="0"/>
              <w:snapToGrid w:val="0"/>
              <w:spacing w:line="360" w:lineRule="auto"/>
              <w:ind w:firstLine="482" w:firstLineChars="200"/>
              <w:rPr>
                <w:b/>
              </w:rPr>
            </w:pPr>
            <w:r>
              <w:rPr>
                <w:b/>
              </w:rPr>
              <w:t>5</w:t>
            </w:r>
            <w:r>
              <w:rPr>
                <w:rFonts w:hint="eastAsia"/>
                <w:b/>
              </w:rPr>
              <w:t>、</w:t>
            </w:r>
            <w:r>
              <w:rPr>
                <w:b/>
              </w:rPr>
              <w:t>与《</w:t>
            </w:r>
            <w:r>
              <w:rPr>
                <w:rFonts w:hint="eastAsia"/>
                <w:b/>
              </w:rPr>
              <w:t>新疆维吾尔自治区新型工业化“十三五”发展规划</w:t>
            </w:r>
            <w:r>
              <w:rPr>
                <w:b/>
              </w:rPr>
              <w:t>》</w:t>
            </w:r>
            <w:r>
              <w:rPr>
                <w:rFonts w:hint="eastAsia"/>
                <w:b/>
              </w:rPr>
              <w:t>(2016-2020)</w:t>
            </w:r>
            <w:r>
              <w:rPr>
                <w:b/>
              </w:rPr>
              <w:t>相符性分析</w:t>
            </w:r>
          </w:p>
          <w:p>
            <w:pPr>
              <w:pStyle w:val="100"/>
            </w:pPr>
            <w:r>
              <w:rPr>
                <w:rFonts w:hint="eastAsia"/>
              </w:rPr>
              <w:t>表1-</w:t>
            </w:r>
            <w:r>
              <w:t>2</w:t>
            </w:r>
            <w:r>
              <w:rPr>
                <w:rFonts w:hint="eastAsia"/>
              </w:rPr>
              <w:t xml:space="preserve"> </w:t>
            </w:r>
            <w:r>
              <w:t xml:space="preserve"> 与</w:t>
            </w:r>
            <w:r>
              <w:rPr>
                <w:rFonts w:hint="eastAsia"/>
              </w:rPr>
              <w:t>《新疆维吾尔自治区新型工业化“十三五”发展规划》(2016-2020)</w:t>
            </w:r>
            <w:r>
              <w:t>相符性分析</w:t>
            </w:r>
          </w:p>
          <w:tbl>
            <w:tblPr>
              <w:tblStyle w:val="51"/>
              <w:tblpPr w:leftFromText="180" w:rightFromText="180" w:vertAnchor="text" w:tblpXSpec="center" w:tblpY="1"/>
              <w:tblOverlap w:val="never"/>
              <w:tblW w:w="474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3"/>
              <w:gridCol w:w="2751"/>
              <w:gridCol w:w="1523"/>
              <w:gridCol w:w="68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827" w:type="pct"/>
                  <w:vAlign w:val="center"/>
                </w:tcPr>
                <w:p>
                  <w:pPr>
                    <w:pStyle w:val="178"/>
                    <w:rPr>
                      <w:b/>
                      <w:bCs/>
                      <w:color w:val="auto"/>
                    </w:rPr>
                  </w:pPr>
                  <w:r>
                    <w:rPr>
                      <w:rFonts w:hint="eastAsia"/>
                      <w:b/>
                      <w:bCs/>
                      <w:color w:val="auto"/>
                    </w:rPr>
                    <w:t>分类</w:t>
                  </w:r>
                </w:p>
              </w:tc>
              <w:tc>
                <w:tcPr>
                  <w:tcW w:w="2313" w:type="pct"/>
                  <w:vAlign w:val="center"/>
                </w:tcPr>
                <w:p>
                  <w:pPr>
                    <w:pStyle w:val="178"/>
                    <w:rPr>
                      <w:b/>
                      <w:bCs/>
                      <w:color w:val="auto"/>
                    </w:rPr>
                  </w:pPr>
                  <w:r>
                    <w:rPr>
                      <w:rFonts w:hint="eastAsia"/>
                      <w:b/>
                      <w:bCs/>
                      <w:color w:val="auto"/>
                    </w:rPr>
                    <w:t>规划内容</w:t>
                  </w:r>
                </w:p>
              </w:tc>
              <w:tc>
                <w:tcPr>
                  <w:tcW w:w="1281" w:type="pct"/>
                  <w:vAlign w:val="center"/>
                </w:tcPr>
                <w:p>
                  <w:pPr>
                    <w:pStyle w:val="178"/>
                    <w:rPr>
                      <w:b/>
                      <w:bCs/>
                      <w:color w:val="auto"/>
                    </w:rPr>
                  </w:pPr>
                  <w:r>
                    <w:rPr>
                      <w:rFonts w:hint="eastAsia"/>
                      <w:b/>
                      <w:bCs/>
                      <w:color w:val="auto"/>
                    </w:rPr>
                    <w:t>本项目实际</w:t>
                  </w:r>
                </w:p>
              </w:tc>
              <w:tc>
                <w:tcPr>
                  <w:tcW w:w="580" w:type="pct"/>
                  <w:vAlign w:val="center"/>
                </w:tcPr>
                <w:p>
                  <w:pPr>
                    <w:pStyle w:val="178"/>
                    <w:rPr>
                      <w:b/>
                      <w:bCs/>
                      <w:color w:val="auto"/>
                    </w:rPr>
                  </w:pPr>
                  <w:r>
                    <w:rPr>
                      <w:rFonts w:hint="eastAsia"/>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827" w:type="pct"/>
                  <w:vAlign w:val="center"/>
                </w:tcPr>
                <w:p>
                  <w:pPr>
                    <w:pStyle w:val="178"/>
                    <w:rPr>
                      <w:color w:val="auto"/>
                    </w:rPr>
                  </w:pPr>
                  <w:r>
                    <w:rPr>
                      <w:rFonts w:hint="eastAsia"/>
                      <w:color w:val="auto"/>
                    </w:rPr>
                    <w:t>轻工业</w:t>
                  </w:r>
                </w:p>
              </w:tc>
              <w:tc>
                <w:tcPr>
                  <w:tcW w:w="2313" w:type="pct"/>
                  <w:vAlign w:val="center"/>
                </w:tcPr>
                <w:p>
                  <w:pPr>
                    <w:pStyle w:val="178"/>
                    <w:rPr>
                      <w:color w:val="auto"/>
                    </w:rPr>
                  </w:pPr>
                  <w:r>
                    <w:rPr>
                      <w:color w:val="auto"/>
                    </w:rPr>
                    <w:t>推动塑料制品、造纸、家居用品、皮革等产业改造提升；积极支持发展民族特色手工业、旅游产品等劳动密集型产业。尽快形成一批布局合理、产业联动的特色产业集群和“小巨人”企业。支持就业容量大的小微企业、专业合作组织及个体工商户为主的轻工产业发展，夯实轻工业“惠及民生、活跃市场”的产业基础作用</w:t>
                  </w:r>
                </w:p>
              </w:tc>
              <w:tc>
                <w:tcPr>
                  <w:tcW w:w="1281" w:type="pct"/>
                  <w:vAlign w:val="center"/>
                </w:tcPr>
                <w:p>
                  <w:pPr>
                    <w:pStyle w:val="178"/>
                    <w:rPr>
                      <w:color w:val="auto"/>
                    </w:rPr>
                  </w:pPr>
                  <w:r>
                    <w:rPr>
                      <w:rFonts w:hint="eastAsia"/>
                      <w:color w:val="auto"/>
                    </w:rPr>
                    <w:t>本项目属于刨花板行业，属于小微企业，属于支持发展产业</w:t>
                  </w:r>
                </w:p>
              </w:tc>
              <w:tc>
                <w:tcPr>
                  <w:tcW w:w="580" w:type="pct"/>
                  <w:vAlign w:val="center"/>
                </w:tcPr>
                <w:p>
                  <w:pPr>
                    <w:pStyle w:val="178"/>
                    <w:rPr>
                      <w:color w:val="auto"/>
                    </w:rPr>
                  </w:pPr>
                  <w:r>
                    <w:rPr>
                      <w:rFonts w:hint="eastAsia"/>
                      <w:color w:val="auto"/>
                    </w:rPr>
                    <w:t>符合</w:t>
                  </w:r>
                </w:p>
              </w:tc>
            </w:tr>
          </w:tbl>
          <w:p>
            <w:pPr>
              <w:widowControl/>
              <w:adjustRightInd w:val="0"/>
              <w:snapToGrid w:val="0"/>
              <w:spacing w:before="120" w:beforeLines="50" w:line="360" w:lineRule="auto"/>
              <w:ind w:firstLine="482" w:firstLineChars="200"/>
              <w:rPr>
                <w:b/>
              </w:rPr>
            </w:pPr>
            <w:r>
              <w:rPr>
                <w:b/>
              </w:rPr>
              <w:t>6</w:t>
            </w:r>
            <w:r>
              <w:rPr>
                <w:rFonts w:hint="eastAsia"/>
                <w:b/>
              </w:rPr>
              <w:t>、</w:t>
            </w:r>
            <w:r>
              <w:rPr>
                <w:b/>
              </w:rPr>
              <w:t>与《</w:t>
            </w:r>
            <w:r>
              <w:rPr>
                <w:rFonts w:hint="eastAsia"/>
                <w:b/>
              </w:rPr>
              <w:t>“十三五”挥发性有机物污染防治工作方案</w:t>
            </w:r>
            <w:r>
              <w:rPr>
                <w:b/>
              </w:rPr>
              <w:t>》相符性分析</w:t>
            </w:r>
          </w:p>
          <w:p>
            <w:pPr>
              <w:pStyle w:val="100"/>
            </w:pPr>
            <w:r>
              <w:rPr>
                <w:rFonts w:hint="eastAsia"/>
              </w:rPr>
              <w:t>表1-</w:t>
            </w:r>
            <w:r>
              <w:t>3</w:t>
            </w:r>
            <w:r>
              <w:rPr>
                <w:rFonts w:hint="eastAsia"/>
              </w:rPr>
              <w:t xml:space="preserve"> </w:t>
            </w:r>
            <w:r>
              <w:t xml:space="preserve"> 与</w:t>
            </w:r>
            <w:r>
              <w:rPr>
                <w:rFonts w:hint="eastAsia"/>
              </w:rPr>
              <w:t>《</w:t>
            </w:r>
            <w:r>
              <w:rPr>
                <w:rFonts w:hint="eastAsia" w:ascii="宋体" w:hAnsi="宋体"/>
                <w:bCs/>
              </w:rPr>
              <w:t>“十三五”挥发性有机物污染防治工作方案</w:t>
            </w:r>
            <w:r>
              <w:rPr>
                <w:rFonts w:hint="eastAsia"/>
              </w:rPr>
              <w:t>》</w:t>
            </w:r>
            <w:r>
              <w:t>相符性分析</w:t>
            </w:r>
          </w:p>
          <w:tbl>
            <w:tblPr>
              <w:tblStyle w:val="51"/>
              <w:tblpPr w:leftFromText="180" w:rightFromText="180" w:vertAnchor="text" w:tblpXSpec="center" w:tblpY="1"/>
              <w:tblOverlap w:val="never"/>
              <w:tblW w:w="474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1720"/>
              <w:gridCol w:w="100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12" w:type="pct"/>
                  <w:vAlign w:val="center"/>
                </w:tcPr>
                <w:p>
                  <w:pPr>
                    <w:pStyle w:val="178"/>
                    <w:rPr>
                      <w:b/>
                      <w:bCs/>
                      <w:color w:val="auto"/>
                    </w:rPr>
                  </w:pPr>
                  <w:r>
                    <w:rPr>
                      <w:rFonts w:hint="eastAsia"/>
                      <w:b/>
                      <w:bCs/>
                      <w:color w:val="auto"/>
                    </w:rPr>
                    <w:t>规划内容</w:t>
                  </w:r>
                </w:p>
              </w:tc>
              <w:tc>
                <w:tcPr>
                  <w:tcW w:w="1445" w:type="pct"/>
                  <w:vAlign w:val="center"/>
                </w:tcPr>
                <w:p>
                  <w:pPr>
                    <w:pStyle w:val="178"/>
                    <w:rPr>
                      <w:b/>
                      <w:bCs/>
                      <w:color w:val="auto"/>
                    </w:rPr>
                  </w:pPr>
                  <w:r>
                    <w:rPr>
                      <w:rFonts w:hint="eastAsia"/>
                      <w:b/>
                      <w:bCs/>
                      <w:color w:val="auto"/>
                    </w:rPr>
                    <w:t>本项目实际</w:t>
                  </w:r>
                </w:p>
              </w:tc>
              <w:tc>
                <w:tcPr>
                  <w:tcW w:w="842" w:type="pct"/>
                  <w:vAlign w:val="center"/>
                </w:tcPr>
                <w:p>
                  <w:pPr>
                    <w:pStyle w:val="178"/>
                    <w:rPr>
                      <w:b/>
                      <w:bCs/>
                      <w:color w:val="auto"/>
                    </w:rPr>
                  </w:pPr>
                  <w:r>
                    <w:rPr>
                      <w:rFonts w:hint="eastAsia"/>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12" w:type="pct"/>
                  <w:vAlign w:val="center"/>
                </w:tcPr>
                <w:p>
                  <w:pPr>
                    <w:pStyle w:val="178"/>
                    <w:rPr>
                      <w:color w:val="auto"/>
                    </w:rPr>
                  </w:pPr>
                  <w:r>
                    <w:rPr>
                      <w:color w:val="auto"/>
                    </w:rPr>
                    <w:t>加快推进“散乱污”企业综合整治</w:t>
                  </w:r>
                </w:p>
              </w:tc>
              <w:tc>
                <w:tcPr>
                  <w:tcW w:w="1445" w:type="pct"/>
                  <w:vAlign w:val="center"/>
                </w:tcPr>
                <w:p>
                  <w:pPr>
                    <w:pStyle w:val="178"/>
                    <w:rPr>
                      <w:color w:val="auto"/>
                    </w:rPr>
                  </w:pPr>
                  <w:r>
                    <w:rPr>
                      <w:rFonts w:hint="eastAsia"/>
                      <w:color w:val="auto"/>
                    </w:rPr>
                    <w:t>项目不属于散乱污企业</w:t>
                  </w:r>
                </w:p>
              </w:tc>
              <w:tc>
                <w:tcPr>
                  <w:tcW w:w="842" w:type="pct"/>
                  <w:vAlign w:val="center"/>
                </w:tcPr>
                <w:p>
                  <w:pPr>
                    <w:pStyle w:val="178"/>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12" w:type="pct"/>
                  <w:vAlign w:val="center"/>
                </w:tcPr>
                <w:p>
                  <w:pPr>
                    <w:pStyle w:val="178"/>
                    <w:rPr>
                      <w:color w:val="auto"/>
                    </w:rPr>
                  </w:pPr>
                  <w:r>
                    <w:rPr>
                      <w:color w:val="auto"/>
                    </w:rPr>
                    <w:t>严格建设项目环境准入。提高 VOCs 排放重点行业环保准入门槛，严格控制新增污染物排放量。重点地区要严格限制石化、化工、 包装印刷、工业涂装等高 VOCs 排放建设项目</w:t>
                  </w:r>
                  <w:r>
                    <w:rPr>
                      <w:rFonts w:hint="eastAsia"/>
                      <w:color w:val="auto"/>
                    </w:rPr>
                    <w:t>。</w:t>
                  </w:r>
                  <w:r>
                    <w:rPr>
                      <w:color w:val="auto"/>
                    </w:rPr>
                    <w:t>新建涉 VOCs 排放的工业企业要入园区。新、改、扩建涉 VOCs 排放项目，应从 源头加强控制，使用低（无）VOCs 含量的原辅材料，加强废气收集， 安装高效治理设施。</w:t>
                  </w:r>
                </w:p>
              </w:tc>
              <w:tc>
                <w:tcPr>
                  <w:tcW w:w="1445" w:type="pct"/>
                  <w:vAlign w:val="center"/>
                </w:tcPr>
                <w:p>
                  <w:pPr>
                    <w:pStyle w:val="178"/>
                    <w:rPr>
                      <w:color w:val="auto"/>
                    </w:rPr>
                  </w:pPr>
                  <w:r>
                    <w:rPr>
                      <w:rFonts w:hint="eastAsia"/>
                      <w:color w:val="auto"/>
                    </w:rPr>
                    <w:t>项目不属于高VOCs排放项目，项目为新建涉VOCs企业，建设地点位于产业园区内；项目产生的有机废气经收集后，通过蓄热式热力燃烧炉处理后高空排放</w:t>
                  </w:r>
                </w:p>
              </w:tc>
              <w:tc>
                <w:tcPr>
                  <w:tcW w:w="842" w:type="pct"/>
                  <w:vAlign w:val="center"/>
                </w:tcPr>
                <w:p>
                  <w:pPr>
                    <w:pStyle w:val="178"/>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12" w:type="pct"/>
                  <w:vAlign w:val="center"/>
                </w:tcPr>
                <w:p>
                  <w:pPr>
                    <w:pStyle w:val="178"/>
                    <w:rPr>
                      <w:color w:val="auto"/>
                    </w:rPr>
                  </w:pPr>
                  <w:r>
                    <w:rPr>
                      <w:color w:val="auto"/>
                    </w:rPr>
                    <w:t xml:space="preserve">加快推进化工行业 VOCs 综合治理。加大制药、农药、煤化工 （含现代煤化工、炼焦、合成氨等）、橡胶制品、涂料、油墨、胶粘剂、染料、化学助剂（塑料助剂和橡胶助剂）、日用化工等化工行业 VOCs治理力度。推广使用低（无）VOCs 含量、低反应活性的原辅材料和产品。 </w:t>
                  </w:r>
                </w:p>
              </w:tc>
              <w:tc>
                <w:tcPr>
                  <w:tcW w:w="1445" w:type="pct"/>
                  <w:vAlign w:val="center"/>
                </w:tcPr>
                <w:p>
                  <w:pPr>
                    <w:pStyle w:val="178"/>
                    <w:rPr>
                      <w:color w:val="auto"/>
                    </w:rPr>
                  </w:pPr>
                  <w:r>
                    <w:rPr>
                      <w:rFonts w:hint="eastAsia"/>
                      <w:color w:val="auto"/>
                    </w:rPr>
                    <w:t>项目不属于上述化工行业，项目使用</w:t>
                  </w:r>
                  <w:r>
                    <w:rPr>
                      <w:color w:val="auto"/>
                    </w:rPr>
                    <w:t>低VOCs 含量、低反应活性的原辅材料</w:t>
                  </w:r>
                  <w:r>
                    <w:rPr>
                      <w:rFonts w:hint="eastAsia"/>
                      <w:color w:val="auto"/>
                    </w:rPr>
                    <w:t>。</w:t>
                  </w:r>
                </w:p>
              </w:tc>
              <w:tc>
                <w:tcPr>
                  <w:tcW w:w="842" w:type="pct"/>
                  <w:vAlign w:val="center"/>
                </w:tcPr>
                <w:p>
                  <w:pPr>
                    <w:pStyle w:val="178"/>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12" w:type="pct"/>
                  <w:vAlign w:val="center"/>
                </w:tcPr>
                <w:p>
                  <w:pPr>
                    <w:pStyle w:val="178"/>
                    <w:rPr>
                      <w:color w:val="auto"/>
                    </w:rPr>
                  </w:pPr>
                  <w:r>
                    <w:rPr>
                      <w:color w:val="auto"/>
                    </w:rPr>
                    <w:t>加强无组织废气排放控制，含VOCs 物料的储存、输送、投料、卸料，涉及 VOCs 物料的生产及含 VOCs 产品分装等过程应密闭操作。反应尾气、蒸馏装置不凝尾气等工艺排气，工艺容器的置换气、吹扫气、抽真空排气等应进行收集治理。</w:t>
                  </w:r>
                </w:p>
              </w:tc>
              <w:tc>
                <w:tcPr>
                  <w:tcW w:w="1445" w:type="pct"/>
                  <w:vAlign w:val="center"/>
                </w:tcPr>
                <w:p>
                  <w:pPr>
                    <w:pStyle w:val="178"/>
                    <w:rPr>
                      <w:color w:val="auto"/>
                    </w:rPr>
                  </w:pPr>
                  <w:r>
                    <w:rPr>
                      <w:rFonts w:hint="eastAsia"/>
                      <w:color w:val="auto"/>
                    </w:rPr>
                    <w:t>项目设置集气罩收集挥发性有机物，生产过程车间密闭</w:t>
                  </w:r>
                </w:p>
              </w:tc>
              <w:tc>
                <w:tcPr>
                  <w:tcW w:w="842" w:type="pct"/>
                  <w:vAlign w:val="center"/>
                </w:tcPr>
                <w:p>
                  <w:pPr>
                    <w:pStyle w:val="178"/>
                    <w:rPr>
                      <w:color w:val="auto"/>
                    </w:rPr>
                  </w:pPr>
                  <w:r>
                    <w:rPr>
                      <w:rFonts w:hint="eastAsia"/>
                      <w:color w:val="auto"/>
                    </w:rPr>
                    <w:t>符合</w:t>
                  </w:r>
                </w:p>
              </w:tc>
            </w:tr>
          </w:tbl>
          <w:p>
            <w:pPr>
              <w:widowControl/>
              <w:adjustRightInd w:val="0"/>
              <w:snapToGrid w:val="0"/>
              <w:spacing w:before="120" w:beforeLines="50" w:line="360" w:lineRule="auto"/>
              <w:ind w:firstLine="482" w:firstLineChars="200"/>
              <w:rPr>
                <w:b/>
              </w:rPr>
            </w:pPr>
            <w:r>
              <w:rPr>
                <w:b/>
              </w:rPr>
              <w:t>7</w:t>
            </w:r>
            <w:r>
              <w:rPr>
                <w:rFonts w:hint="eastAsia"/>
                <w:b/>
              </w:rPr>
              <w:t>、</w:t>
            </w:r>
            <w:r>
              <w:rPr>
                <w:b/>
              </w:rPr>
              <w:t>与</w:t>
            </w:r>
            <w:r>
              <w:rPr>
                <w:rFonts w:hint="eastAsia"/>
                <w:b/>
              </w:rPr>
              <w:t>《新疆维吾尔自治区生态环境厅关于自治区加快解决当前挥发性有机物治理突出问题的通知》</w:t>
            </w:r>
            <w:r>
              <w:rPr>
                <w:b/>
              </w:rPr>
              <w:t>相符性分析</w:t>
            </w:r>
          </w:p>
          <w:p>
            <w:pPr>
              <w:pStyle w:val="100"/>
            </w:pPr>
            <w:r>
              <w:rPr>
                <w:rFonts w:hint="eastAsia"/>
              </w:rPr>
              <w:t>表1-</w:t>
            </w:r>
            <w:r>
              <w:t>4</w:t>
            </w:r>
            <w:r>
              <w:rPr>
                <w:rFonts w:hint="eastAsia"/>
              </w:rPr>
              <w:t xml:space="preserve"> </w:t>
            </w:r>
            <w:r>
              <w:t xml:space="preserve"> 与</w:t>
            </w:r>
            <w:r>
              <w:rPr>
                <w:rFonts w:hint="eastAsia"/>
              </w:rPr>
              <w:t>《新疆维吾尔自治区生态环境厅关于自治区加快解决当前挥发性有机物治理突出问题的通知》</w:t>
            </w:r>
            <w:r>
              <w:t>相符性分析</w:t>
            </w:r>
          </w:p>
          <w:tbl>
            <w:tblPr>
              <w:tblStyle w:val="51"/>
              <w:tblpPr w:leftFromText="180" w:rightFromText="180" w:vertAnchor="text" w:tblpXSpec="center" w:tblpY="1"/>
              <w:tblOverlap w:val="never"/>
              <w:tblW w:w="4746"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1720"/>
              <w:gridCol w:w="752"/>
              <w:gridCol w:w="25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12" w:type="pct"/>
                  <w:vAlign w:val="center"/>
                </w:tcPr>
                <w:p>
                  <w:pPr>
                    <w:pStyle w:val="178"/>
                    <w:rPr>
                      <w:b/>
                      <w:bCs/>
                      <w:color w:val="auto"/>
                    </w:rPr>
                  </w:pPr>
                  <w:r>
                    <w:rPr>
                      <w:rFonts w:hint="eastAsia"/>
                      <w:b/>
                      <w:bCs/>
                      <w:color w:val="auto"/>
                    </w:rPr>
                    <w:t>规划内容</w:t>
                  </w:r>
                </w:p>
              </w:tc>
              <w:tc>
                <w:tcPr>
                  <w:tcW w:w="1445" w:type="pct"/>
                  <w:vAlign w:val="center"/>
                </w:tcPr>
                <w:p>
                  <w:pPr>
                    <w:pStyle w:val="178"/>
                    <w:rPr>
                      <w:b/>
                      <w:bCs/>
                      <w:color w:val="auto"/>
                    </w:rPr>
                  </w:pPr>
                  <w:r>
                    <w:rPr>
                      <w:rFonts w:hint="eastAsia"/>
                      <w:b/>
                      <w:bCs/>
                      <w:color w:val="auto"/>
                    </w:rPr>
                    <w:t>本项目实际</w:t>
                  </w:r>
                </w:p>
              </w:tc>
              <w:tc>
                <w:tcPr>
                  <w:tcW w:w="842" w:type="pct"/>
                  <w:gridSpan w:val="2"/>
                  <w:vAlign w:val="center"/>
                </w:tcPr>
                <w:p>
                  <w:pPr>
                    <w:pStyle w:val="178"/>
                    <w:rPr>
                      <w:b/>
                      <w:bCs/>
                      <w:color w:val="auto"/>
                    </w:rPr>
                  </w:pPr>
                  <w:r>
                    <w:rPr>
                      <w:rFonts w:hint="eastAsia"/>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10" w:type="pct"/>
                <w:trHeight w:val="342" w:hRule="atLeast"/>
              </w:trPr>
              <w:tc>
                <w:tcPr>
                  <w:tcW w:w="2712" w:type="pct"/>
                  <w:vAlign w:val="center"/>
                </w:tcPr>
                <w:p>
                  <w:pPr>
                    <w:pStyle w:val="178"/>
                    <w:rPr>
                      <w:color w:val="auto"/>
                    </w:rPr>
                  </w:pPr>
                  <w:r>
                    <w:rPr>
                      <w:rFonts w:hint="eastAsia"/>
                      <w:color w:val="auto"/>
                    </w:rPr>
                    <w:t>组织企业自行完成一轮排查工作。各地（州、市）按照《通知》要求，在完成重点任务和问题整改“回头看”的基础上，结合本地特色产业，组织企业按照《挥发性有机物治理突出问题排查整治工作要求》（附件1）从挥发性有机液体储罐、装卸、敞开液面、泄漏检测与修复（LDAR）、废气收集、废气旁路、治理设施、加油站、非正常工况、产品VOCs含量等10个关键环节，认真对照大气污染防治法、排污许可证、相关排放标准和产品VOCs含量限值标准等开展排查整治，对排查出的突出问题形成VOCs突出问题排查清单（附件2）和治理台账（附件3），需要实施工程项目整治的，形成治理项目清单（附件4），对照中央、自治区大气污染防治资金申报要求开展治理项目申报入库。</w:t>
                  </w:r>
                </w:p>
              </w:tc>
              <w:tc>
                <w:tcPr>
                  <w:tcW w:w="1445" w:type="pct"/>
                  <w:vAlign w:val="center"/>
                </w:tcPr>
                <w:p>
                  <w:pPr>
                    <w:pStyle w:val="178"/>
                    <w:rPr>
                      <w:color w:val="auto"/>
                    </w:rPr>
                  </w:pPr>
                  <w:r>
                    <w:rPr>
                      <w:rFonts w:hint="eastAsia"/>
                      <w:color w:val="auto"/>
                    </w:rPr>
                    <w:t>要求本项目建成后，企业组织自我排查；</w:t>
                  </w:r>
                </w:p>
              </w:tc>
              <w:tc>
                <w:tcPr>
                  <w:tcW w:w="632" w:type="pct"/>
                  <w:vAlign w:val="center"/>
                </w:tcPr>
                <w:p>
                  <w:pPr>
                    <w:pStyle w:val="178"/>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10" w:type="pct"/>
                <w:trHeight w:val="342" w:hRule="atLeast"/>
              </w:trPr>
              <w:tc>
                <w:tcPr>
                  <w:tcW w:w="2712" w:type="pct"/>
                  <w:vAlign w:val="center"/>
                </w:tcPr>
                <w:p>
                  <w:pPr>
                    <w:pStyle w:val="178"/>
                    <w:rPr>
                      <w:color w:val="auto"/>
                    </w:rPr>
                  </w:pPr>
                  <w:r>
                    <w:rPr>
                      <w:rFonts w:hint="eastAsia"/>
                      <w:color w:val="auto"/>
                    </w:rPr>
                    <w:t>各地应加强对企业自行监测的监督管理，提高企业自行监测数据质量，联合有关部门对第三方监测（检测）机构实施“双随机、一公开”监督抽查。安装联网情况清单2021年10月底前报送，工作开展情况纳入工作总结。自治区执法局、污染物监控与信息中心、监测总站将VOCs重点排污单位自动监测设备建设联网情况纳入例行检查和执法监测。</w:t>
                  </w:r>
                </w:p>
              </w:tc>
              <w:tc>
                <w:tcPr>
                  <w:tcW w:w="1445" w:type="pct"/>
                  <w:vAlign w:val="center"/>
                </w:tcPr>
                <w:p>
                  <w:pPr>
                    <w:pStyle w:val="178"/>
                    <w:rPr>
                      <w:color w:val="auto"/>
                    </w:rPr>
                  </w:pPr>
                  <w:r>
                    <w:rPr>
                      <w:rFonts w:hint="eastAsia"/>
                      <w:color w:val="auto"/>
                    </w:rPr>
                    <w:t>企业为简化管理，不需安装自动监测设施；企业已制定环境监测计划，要求企业后期定期监测与上报</w:t>
                  </w:r>
                </w:p>
              </w:tc>
              <w:tc>
                <w:tcPr>
                  <w:tcW w:w="632" w:type="pct"/>
                  <w:vAlign w:val="center"/>
                </w:tcPr>
                <w:p>
                  <w:pPr>
                    <w:pStyle w:val="178"/>
                    <w:rPr>
                      <w:color w:val="auto"/>
                    </w:rPr>
                  </w:pPr>
                  <w:r>
                    <w:rPr>
                      <w:rFonts w:hint="eastAsia"/>
                      <w:color w:val="auto"/>
                    </w:rPr>
                    <w:t>符合</w:t>
                  </w:r>
                </w:p>
              </w:tc>
            </w:tr>
          </w:tbl>
          <w:p>
            <w:pPr>
              <w:widowControl/>
              <w:adjustRightInd w:val="0"/>
              <w:snapToGrid w:val="0"/>
              <w:spacing w:before="120" w:beforeLines="50" w:line="360" w:lineRule="auto"/>
              <w:ind w:firstLine="482" w:firstLineChars="200"/>
              <w:rPr>
                <w:b/>
              </w:rPr>
            </w:pPr>
            <w:r>
              <w:rPr>
                <w:b/>
              </w:rPr>
              <w:t>8</w:t>
            </w:r>
            <w:r>
              <w:rPr>
                <w:rFonts w:hint="eastAsia"/>
                <w:b/>
              </w:rPr>
              <w:t>、</w:t>
            </w:r>
            <w:r>
              <w:rPr>
                <w:b/>
              </w:rPr>
              <w:t>与</w:t>
            </w:r>
            <w:r>
              <w:rPr>
                <w:rFonts w:hint="eastAsia"/>
                <w:b/>
              </w:rPr>
              <w:t>《关于开展自治区 2021 年度夏秋季大气污染防治“东病夏治”工作的通知》</w:t>
            </w:r>
            <w:r>
              <w:rPr>
                <w:b/>
              </w:rPr>
              <w:t>相符性分析</w:t>
            </w:r>
          </w:p>
          <w:p>
            <w:pPr>
              <w:pStyle w:val="100"/>
            </w:pPr>
            <w:r>
              <w:rPr>
                <w:rFonts w:hint="eastAsia"/>
              </w:rPr>
              <w:t>表1-</w:t>
            </w:r>
            <w:r>
              <w:t>5</w:t>
            </w:r>
            <w:r>
              <w:rPr>
                <w:rFonts w:hint="eastAsia"/>
              </w:rPr>
              <w:t xml:space="preserve"> </w:t>
            </w:r>
            <w:r>
              <w:t xml:space="preserve"> 与</w:t>
            </w:r>
            <w:r>
              <w:rPr>
                <w:rFonts w:hint="eastAsia"/>
              </w:rPr>
              <w:t>《关于开展自治区 2021 年度夏秋季大气污染防治“东病夏治”工作的通知》</w:t>
            </w:r>
            <w:r>
              <w:t>相符性分析</w:t>
            </w:r>
          </w:p>
          <w:tbl>
            <w:tblPr>
              <w:tblStyle w:val="51"/>
              <w:tblpPr w:leftFromText="180" w:rightFromText="180" w:vertAnchor="text" w:tblpXSpec="center" w:tblpY="1"/>
              <w:tblOverlap w:val="never"/>
              <w:tblW w:w="4633"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30"/>
              <w:gridCol w:w="1722"/>
              <w:gridCol w:w="753"/>
              <w:gridCol w:w="10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779" w:type="pct"/>
                  <w:vAlign w:val="center"/>
                </w:tcPr>
                <w:p>
                  <w:pPr>
                    <w:pStyle w:val="178"/>
                    <w:rPr>
                      <w:b/>
                      <w:bCs/>
                      <w:color w:val="auto"/>
                    </w:rPr>
                  </w:pPr>
                  <w:r>
                    <w:rPr>
                      <w:rFonts w:hint="eastAsia"/>
                      <w:b/>
                      <w:bCs/>
                      <w:color w:val="auto"/>
                    </w:rPr>
                    <w:t>规划内容</w:t>
                  </w:r>
                </w:p>
              </w:tc>
              <w:tc>
                <w:tcPr>
                  <w:tcW w:w="1481" w:type="pct"/>
                  <w:vAlign w:val="center"/>
                </w:tcPr>
                <w:p>
                  <w:pPr>
                    <w:pStyle w:val="178"/>
                    <w:rPr>
                      <w:b/>
                      <w:bCs/>
                      <w:color w:val="auto"/>
                    </w:rPr>
                  </w:pPr>
                  <w:r>
                    <w:rPr>
                      <w:rFonts w:hint="eastAsia"/>
                      <w:b/>
                      <w:bCs/>
                      <w:color w:val="auto"/>
                    </w:rPr>
                    <w:t>本项目实际</w:t>
                  </w:r>
                </w:p>
              </w:tc>
              <w:tc>
                <w:tcPr>
                  <w:tcW w:w="741" w:type="pct"/>
                  <w:gridSpan w:val="2"/>
                  <w:vAlign w:val="center"/>
                </w:tcPr>
                <w:p>
                  <w:pPr>
                    <w:pStyle w:val="178"/>
                    <w:rPr>
                      <w:b/>
                      <w:bCs/>
                      <w:color w:val="auto"/>
                    </w:rPr>
                  </w:pPr>
                  <w:r>
                    <w:rPr>
                      <w:rFonts w:hint="eastAsia"/>
                      <w:b/>
                      <w:bCs/>
                      <w:color w:val="auto"/>
                    </w:rP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3" w:type="pct"/>
                <w:trHeight w:val="342" w:hRule="atLeast"/>
              </w:trPr>
              <w:tc>
                <w:tcPr>
                  <w:tcW w:w="2779" w:type="pct"/>
                  <w:vAlign w:val="center"/>
                </w:tcPr>
                <w:p>
                  <w:pPr>
                    <w:pStyle w:val="178"/>
                    <w:rPr>
                      <w:color w:val="auto"/>
                    </w:rPr>
                  </w:pPr>
                  <w:r>
                    <w:rPr>
                      <w:rFonts w:hint="eastAsia"/>
                      <w:color w:val="auto"/>
                    </w:rPr>
                    <w:t>严格施工扬尘监管；实施扬尘综合治理，严格堆场扬尘监管，夯实混凝土搅拌站堆场、施工工地弃土场等扬尘监管责任，提升综合防控水平。加强道路扬尘整治，大力推进道路清扫保洁机械化作业。严格渣土运输车辆密闭管理，严禁渣土运输车辆带泥上路，强化渣土运输企业诚信考核。</w:t>
                  </w:r>
                </w:p>
              </w:tc>
              <w:tc>
                <w:tcPr>
                  <w:tcW w:w="1481" w:type="pct"/>
                  <w:vAlign w:val="center"/>
                </w:tcPr>
                <w:p>
                  <w:pPr>
                    <w:pStyle w:val="178"/>
                    <w:rPr>
                      <w:color w:val="auto"/>
                    </w:rPr>
                  </w:pPr>
                  <w:r>
                    <w:rPr>
                      <w:rFonts w:hint="eastAsia"/>
                      <w:color w:val="auto"/>
                    </w:rPr>
                    <w:t>项目为技术改造项目，产生扬尘较少，采用水喷淋等措施处理</w:t>
                  </w:r>
                </w:p>
              </w:tc>
              <w:tc>
                <w:tcPr>
                  <w:tcW w:w="648" w:type="pct"/>
                  <w:vAlign w:val="center"/>
                </w:tcPr>
                <w:p>
                  <w:pPr>
                    <w:pStyle w:val="178"/>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3" w:type="pct"/>
                <w:trHeight w:val="342" w:hRule="atLeast"/>
              </w:trPr>
              <w:tc>
                <w:tcPr>
                  <w:tcW w:w="2779" w:type="pct"/>
                  <w:vAlign w:val="center"/>
                </w:tcPr>
                <w:p>
                  <w:pPr>
                    <w:pStyle w:val="178"/>
                    <w:rPr>
                      <w:color w:val="auto"/>
                    </w:rPr>
                  </w:pPr>
                  <w:r>
                    <w:rPr>
                      <w:rFonts w:hint="eastAsia"/>
                      <w:color w:val="auto"/>
                    </w:rPr>
                    <w:t>开展锅炉综合整治，加大散煤治理力度</w:t>
                  </w:r>
                </w:p>
              </w:tc>
              <w:tc>
                <w:tcPr>
                  <w:tcW w:w="1481" w:type="pct"/>
                  <w:vAlign w:val="center"/>
                </w:tcPr>
                <w:p>
                  <w:pPr>
                    <w:pStyle w:val="178"/>
                    <w:rPr>
                      <w:color w:val="auto"/>
                    </w:rPr>
                  </w:pPr>
                  <w:r>
                    <w:rPr>
                      <w:rFonts w:hint="eastAsia"/>
                      <w:color w:val="auto"/>
                    </w:rPr>
                    <w:t>项目不涉及煤炭使用</w:t>
                  </w:r>
                </w:p>
              </w:tc>
              <w:tc>
                <w:tcPr>
                  <w:tcW w:w="648" w:type="pct"/>
                  <w:vAlign w:val="center"/>
                </w:tcPr>
                <w:p>
                  <w:pPr>
                    <w:pStyle w:val="178"/>
                    <w:rPr>
                      <w:color w:val="auto"/>
                    </w:rPr>
                  </w:pPr>
                  <w:r>
                    <w:rPr>
                      <w:rFonts w:hint="eastAsia"/>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93" w:type="pct"/>
                <w:trHeight w:val="342" w:hRule="atLeast"/>
              </w:trPr>
              <w:tc>
                <w:tcPr>
                  <w:tcW w:w="2779" w:type="pct"/>
                  <w:vAlign w:val="center"/>
                </w:tcPr>
                <w:p>
                  <w:pPr>
                    <w:pStyle w:val="178"/>
                    <w:rPr>
                      <w:color w:val="auto"/>
                    </w:rPr>
                  </w:pPr>
                  <w:r>
                    <w:rPr>
                      <w:rFonts w:hint="eastAsia"/>
                      <w:color w:val="auto"/>
                    </w:rPr>
                    <w:t>推进企业VOCs综合整治。推进实施含VOCs产品源头替代工程，加大低(无)VOCs含量涂料、油墨、胶粘剂等源头替代力度。全面落实VOCs无组织排放等标准要求，开展储罐综合治理、污水逸散有机废气专项治理。针对石化、化工、工业涂装、包装印刷等重点行业废气排放旁路开展摸排并建立清单,取消非必要旁路,因安全生产确需保留的，应通过铅封、安装自动监控设施等方式加强监管。继续实施泄漏检测与修复( LDAR )，化工园区完善LDAR管理平台。推动企业实施生产过程密闭化、连续化、自动化技术改造，强化生产工艺环节的有机废气收集。对采用单一光氧、低温等离子、活性碳吸收和不符合安全生产要求的处理设施进行升级改造。各地（州、市）要建立本地区 VOCs排放污染源清单，制定实施VOCs排放重点企业综合整治计划，重点区域在10月底前完成。对涉VOCs排放的企业集群,推进同类企业污染物集中处理。</w:t>
                  </w:r>
                </w:p>
              </w:tc>
              <w:tc>
                <w:tcPr>
                  <w:tcW w:w="1481" w:type="pct"/>
                  <w:vAlign w:val="center"/>
                </w:tcPr>
                <w:p>
                  <w:pPr>
                    <w:pStyle w:val="178"/>
                    <w:rPr>
                      <w:color w:val="auto"/>
                    </w:rPr>
                  </w:pPr>
                  <w:r>
                    <w:rPr>
                      <w:rFonts w:hint="eastAsia"/>
                      <w:color w:val="auto"/>
                    </w:rPr>
                    <w:t>项目建设地点位于产业园区内；项目使用</w:t>
                  </w:r>
                  <w:r>
                    <w:rPr>
                      <w:color w:val="auto"/>
                    </w:rPr>
                    <w:t>低VOCs 含量、低反应活性的原辅材料</w:t>
                  </w:r>
                  <w:r>
                    <w:rPr>
                      <w:rFonts w:hint="eastAsia"/>
                      <w:color w:val="auto"/>
                    </w:rPr>
                    <w:t>；</w:t>
                  </w:r>
                </w:p>
                <w:p>
                  <w:pPr>
                    <w:pStyle w:val="178"/>
                    <w:rPr>
                      <w:color w:val="auto"/>
                    </w:rPr>
                  </w:pPr>
                  <w:r>
                    <w:rPr>
                      <w:rFonts w:hint="eastAsia"/>
                      <w:color w:val="auto"/>
                    </w:rPr>
                    <w:t>项目设置集气罩收集挥发性有机物，生产过程车间密闭；项目产生的有机废气经收集后，通过蓄热式热力燃烧炉处理后高空排放；</w:t>
                  </w:r>
                </w:p>
              </w:tc>
              <w:tc>
                <w:tcPr>
                  <w:tcW w:w="648" w:type="pct"/>
                  <w:vAlign w:val="center"/>
                </w:tcPr>
                <w:p>
                  <w:pPr>
                    <w:pStyle w:val="178"/>
                    <w:rPr>
                      <w:color w:val="auto"/>
                    </w:rPr>
                  </w:pPr>
                  <w:r>
                    <w:rPr>
                      <w:rFonts w:hint="eastAsia"/>
                      <w:color w:val="auto"/>
                    </w:rPr>
                    <w:t>符合</w:t>
                  </w:r>
                </w:p>
              </w:tc>
            </w:tr>
          </w:tbl>
          <w:p>
            <w:pPr>
              <w:spacing w:line="360" w:lineRule="auto"/>
              <w:ind w:firstLine="482" w:firstLineChars="200"/>
              <w:rPr>
                <w:b/>
                <w:bCs/>
              </w:rPr>
            </w:pPr>
          </w:p>
          <w:p>
            <w:pPr>
              <w:spacing w:line="360" w:lineRule="auto"/>
              <w:ind w:firstLine="482" w:firstLineChars="200"/>
              <w:rPr>
                <w:b/>
                <w:bCs/>
              </w:rPr>
            </w:pPr>
            <w:r>
              <w:rPr>
                <w:b/>
                <w:bCs/>
              </w:rPr>
              <w:t>9、</w:t>
            </w:r>
            <w:r>
              <w:rPr>
                <w:rFonts w:hint="eastAsia"/>
                <w:b/>
                <w:bCs/>
              </w:rPr>
              <w:t>项目与《新疆维吾尔自治区“三线一单”生态环境分区管控方案》符合性分析</w:t>
            </w:r>
          </w:p>
          <w:p>
            <w:pPr>
              <w:pStyle w:val="100"/>
            </w:pPr>
            <w:r>
              <w:t>表</w:t>
            </w:r>
            <w:r>
              <w:rPr>
                <w:rFonts w:hint="eastAsia"/>
              </w:rPr>
              <w:t>1-</w:t>
            </w:r>
            <w:r>
              <w:t xml:space="preserve">6  </w:t>
            </w:r>
            <w:r>
              <w:rPr>
                <w:rFonts w:hint="eastAsia"/>
              </w:rPr>
              <w:t>《新疆维吾尔自治区“三线一单”生态环境分区管控方案》</w:t>
            </w:r>
            <w:r>
              <w:t>符合性</w:t>
            </w:r>
          </w:p>
          <w:tbl>
            <w:tblPr>
              <w:tblStyle w:val="51"/>
              <w:tblW w:w="61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3040"/>
              <w:gridCol w:w="203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4120" w:type="dxa"/>
                  <w:gridSpan w:val="2"/>
                  <w:vAlign w:val="center"/>
                </w:tcPr>
                <w:p>
                  <w:pPr>
                    <w:pStyle w:val="178"/>
                    <w:rPr>
                      <w:b/>
                      <w:bCs/>
                      <w:color w:val="auto"/>
                    </w:rPr>
                  </w:pPr>
                  <w:r>
                    <w:rPr>
                      <w:rFonts w:hint="eastAsia"/>
                      <w:b/>
                      <w:bCs/>
                      <w:color w:val="auto"/>
                    </w:rPr>
                    <w:t>内容</w:t>
                  </w:r>
                </w:p>
              </w:tc>
              <w:tc>
                <w:tcPr>
                  <w:tcW w:w="2037" w:type="dxa"/>
                  <w:vAlign w:val="center"/>
                </w:tcPr>
                <w:p>
                  <w:pPr>
                    <w:pStyle w:val="178"/>
                    <w:rPr>
                      <w:b/>
                      <w:bCs/>
                      <w:color w:val="auto"/>
                    </w:rPr>
                  </w:pPr>
                  <w:r>
                    <w:rPr>
                      <w:rFonts w:hint="eastAsia"/>
                      <w:b/>
                      <w:bCs/>
                      <w:color w:val="auto"/>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0" w:type="dxa"/>
                  <w:vMerge w:val="restart"/>
                </w:tcPr>
                <w:p>
                  <w:pPr>
                    <w:pStyle w:val="178"/>
                    <w:ind w:left="-29"/>
                    <w:jc w:val="both"/>
                    <w:rPr>
                      <w:color w:val="auto"/>
                    </w:rPr>
                  </w:pPr>
                  <w:r>
                    <w:rPr>
                      <w:rFonts w:hint="eastAsia"/>
                      <w:color w:val="auto"/>
                    </w:rPr>
                    <w:t>(四)划分环境管控单元。</w:t>
                  </w:r>
                </w:p>
                <w:p>
                  <w:pPr>
                    <w:pStyle w:val="178"/>
                    <w:ind w:left="-29"/>
                    <w:jc w:val="both"/>
                    <w:rPr>
                      <w:color w:val="auto"/>
                    </w:rPr>
                  </w:pPr>
                  <w:r>
                    <w:rPr>
                      <w:rFonts w:hint="eastAsia"/>
                      <w:color w:val="auto"/>
                    </w:rPr>
                    <w:t>自治区共划定1323个环境管控单元，分为优先保护单元、重点管控单元和一般管控单元三类，实施分类管控。</w:t>
                  </w:r>
                </w:p>
              </w:tc>
              <w:tc>
                <w:tcPr>
                  <w:tcW w:w="3040" w:type="dxa"/>
                </w:tcPr>
                <w:p>
                  <w:pPr>
                    <w:pStyle w:val="178"/>
                    <w:ind w:left="-29"/>
                    <w:jc w:val="both"/>
                    <w:rPr>
                      <w:color w:val="auto"/>
                    </w:rPr>
                  </w:pPr>
                  <w:r>
                    <w:rPr>
                      <w:rFonts w:hint="eastAsia"/>
                      <w:color w:val="auto"/>
                    </w:rPr>
                    <w:t>优先保护单元465个，主要包括生态保护红线区和生态保护红线区以外的饮用水水源保护区、水源涵养区、防风固沙区、土地沙化防控区、水土流失防控区等一般生态空间管控区。生态保护红线区执行生态保护红线管理办法的有关要求；一般生态空间管控区应以生态环境保护优先为原则，开发建设活动应严格执行相关法律、法规要求，严守生态环境质量底线，确保生态功能不降低。</w:t>
                  </w:r>
                </w:p>
              </w:tc>
              <w:tc>
                <w:tcPr>
                  <w:tcW w:w="2037" w:type="dxa"/>
                  <w:vMerge w:val="restart"/>
                </w:tcPr>
                <w:p>
                  <w:pPr>
                    <w:pStyle w:val="178"/>
                    <w:ind w:left="-29"/>
                    <w:rPr>
                      <w:color w:val="FF0000"/>
                    </w:rPr>
                  </w:pPr>
                  <w:r>
                    <w:rPr>
                      <w:rFonts w:hint="eastAsia"/>
                      <w:color w:val="FF0000"/>
                    </w:rPr>
                    <w:t>项目位于昌吉高新产业技术开发区，根据</w:t>
                  </w:r>
                  <w:r>
                    <w:rPr>
                      <w:color w:val="FF0000"/>
                    </w:rPr>
                    <w:t>昌吉回族自治州“三线一单”生态环境分区管控方案</w:t>
                  </w:r>
                  <w:r>
                    <w:rPr>
                      <w:rFonts w:hint="eastAsia"/>
                      <w:color w:val="FF0000"/>
                    </w:rPr>
                    <w:t>，项目属于重点管控单元，编码为</w:t>
                  </w:r>
                  <w:r>
                    <w:rPr>
                      <w:color w:val="FF0000"/>
                    </w:rPr>
                    <w:t>ZH65230120002</w:t>
                  </w:r>
                  <w:r>
                    <w:rPr>
                      <w:rFonts w:hint="eastAsia"/>
                      <w:color w:val="FF0000"/>
                    </w:rPr>
                    <w:t>。</w:t>
                  </w:r>
                </w:p>
                <w:p>
                  <w:pPr>
                    <w:pStyle w:val="178"/>
                    <w:ind w:left="-29" w:firstLine="480"/>
                    <w:rPr>
                      <w:color w:val="auto"/>
                    </w:rPr>
                  </w:pPr>
                </w:p>
                <w:p>
                  <w:pPr>
                    <w:pStyle w:val="178"/>
                    <w:ind w:left="-29"/>
                    <w:jc w:val="both"/>
                    <w:rPr>
                      <w:color w:val="auto"/>
                    </w:rPr>
                  </w:pPr>
                  <w:r>
                    <w:rPr>
                      <w:rFonts w:hint="eastAsia"/>
                      <w:color w:val="auto"/>
                    </w:rPr>
                    <w:t>本项目位于</w:t>
                  </w:r>
                  <w:r>
                    <w:rPr>
                      <w:rFonts w:hint="eastAsia" w:ascii="宋体" w:hAnsi="宋体" w:cs="宋体"/>
                      <w:color w:val="auto"/>
                      <w:szCs w:val="21"/>
                    </w:rPr>
                    <w:t>新疆昌吉州昌吉市高新技术产业开发区北环西路11号</w:t>
                  </w:r>
                  <w:r>
                    <w:rPr>
                      <w:rFonts w:hint="eastAsia"/>
                      <w:color w:val="auto"/>
                    </w:rPr>
                    <w:t>，产生废气达标排放；噪音经隔声减震后排放；本项目的建设已加强污染物排放管控和环境风险防控，不会对生态环境造成影响。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080" w:type="dxa"/>
                  <w:vMerge w:val="continue"/>
                </w:tcPr>
                <w:p>
                  <w:pPr>
                    <w:pStyle w:val="178"/>
                    <w:ind w:left="-29" w:firstLine="480"/>
                    <w:rPr>
                      <w:color w:val="auto"/>
                    </w:rPr>
                  </w:pPr>
                </w:p>
              </w:tc>
              <w:tc>
                <w:tcPr>
                  <w:tcW w:w="3040" w:type="dxa"/>
                  <w:vAlign w:val="center"/>
                </w:tcPr>
                <w:p>
                  <w:pPr>
                    <w:pStyle w:val="178"/>
                    <w:ind w:left="-29" w:firstLine="480"/>
                    <w:rPr>
                      <w:color w:val="auto"/>
                    </w:rPr>
                  </w:pPr>
                  <w:r>
                    <w:rPr>
                      <w:rFonts w:hint="eastAsia"/>
                      <w:color w:val="auto"/>
                    </w:rPr>
                    <w:t>重点管控单元699个，主要包括城镇建成区、工业园区和开发强度大、污染物排放强度高的工业聚集区等。重点管控单元要着力优化空间布局，不断提升资源利用效率，有针对性地加强污染物排放管控和环境风险防控，解决生态环境质量不达标、生态环境风险高等问题。</w:t>
                  </w:r>
                </w:p>
                <w:p>
                  <w:pPr>
                    <w:pStyle w:val="178"/>
                    <w:ind w:left="-29" w:firstLine="480"/>
                    <w:rPr>
                      <w:color w:val="auto"/>
                    </w:rPr>
                  </w:pPr>
                  <w:r>
                    <w:rPr>
                      <w:rFonts w:hint="eastAsia"/>
                      <w:color w:val="auto"/>
                    </w:rPr>
                    <w:t>一般管控单元159个，主要包括优先保护单元和重点管控单元之外的其它区域。一般管控单元主要落实生态环境保护基本要求，推动区域环境质量持续改善。</w:t>
                  </w:r>
                </w:p>
              </w:tc>
              <w:tc>
                <w:tcPr>
                  <w:tcW w:w="2037" w:type="dxa"/>
                  <w:vMerge w:val="continue"/>
                </w:tcPr>
                <w:p>
                  <w:pPr>
                    <w:pStyle w:val="178"/>
                    <w:ind w:left="-29" w:firstLine="480"/>
                    <w:rPr>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080" w:type="dxa"/>
                </w:tcPr>
                <w:p>
                  <w:pPr>
                    <w:pStyle w:val="178"/>
                    <w:ind w:left="-29" w:firstLine="480"/>
                    <w:rPr>
                      <w:color w:val="auto"/>
                    </w:rPr>
                  </w:pPr>
                  <w:r>
                    <w:rPr>
                      <w:rFonts w:hint="eastAsia"/>
                      <w:color w:val="auto"/>
                    </w:rPr>
                    <w:t>(五)落实生态环境分区管控要求。以环境管控单元为基础，从空间布局约束、污染物排放管控、环境风险防控和资源利用效率四个方面严格环境准入</w:t>
                  </w:r>
                </w:p>
              </w:tc>
              <w:tc>
                <w:tcPr>
                  <w:tcW w:w="3040" w:type="dxa"/>
                </w:tcPr>
                <w:p>
                  <w:pPr>
                    <w:pStyle w:val="178"/>
                    <w:ind w:left="-29" w:firstLine="480"/>
                    <w:rPr>
                      <w:color w:val="auto"/>
                    </w:rPr>
                  </w:pPr>
                  <w:r>
                    <w:rPr>
                      <w:rFonts w:hint="eastAsia"/>
                      <w:color w:val="auto"/>
                    </w:rPr>
                    <w:t>基于新疆各地自然地理条件、资源环境禀赋、经济社会发展状况的差异性，将全区划分为七大片区，包括北疆北部(塔城地区、阿勒泰地区)、伊犁河谷、克奎乌-博州、乌昌石、吐哈、天山南坡(巴州、阿克苏地区)和南疆三地州片区。北疆北部片区重点突出阿尔泰山、准噶尔西部山地等水源涵养功能和生物多样性功能维护、额尔齐斯河和额敏河环境风险防控;伊犁河谷片区重点突出西天山水源涵养功能和生物多样性功能维护、伊犁河环境风险防控、城镇大气污染控制;克奎乌-博州片区重点突出大气污染治理、生物多样性维护和荒漠化防治;乌昌石片区重点突出大气污染治理、资源能源利用效率提升;吐哈片区重点突出荒漠化防治、水资源利用效率提升;天山南坡片区重点突出塔里木盆地北缘荒漠化防治、保障生态用水和博斯腾湖综合治理;南疆三地州片区重点突出塔里木盆地南缘荒漠化防治、土地利用效率和水资源利用效率提升。</w:t>
                  </w:r>
                </w:p>
              </w:tc>
              <w:tc>
                <w:tcPr>
                  <w:tcW w:w="2037" w:type="dxa"/>
                  <w:vAlign w:val="center"/>
                </w:tcPr>
                <w:p>
                  <w:pPr>
                    <w:pStyle w:val="178"/>
                    <w:ind w:left="-29" w:firstLine="480"/>
                    <w:rPr>
                      <w:color w:val="auto"/>
                    </w:rPr>
                  </w:pPr>
                  <w:r>
                    <w:rPr>
                      <w:rFonts w:hint="eastAsia"/>
                      <w:color w:val="auto"/>
                    </w:rPr>
                    <w:t>本项目属于乌昌石片区，乌昌石片区重点突出大气污染治理、资源能源利用效率提升。</w:t>
                  </w:r>
                </w:p>
              </w:tc>
            </w:tr>
          </w:tbl>
          <w:p>
            <w:pPr>
              <w:spacing w:before="120" w:beforeLines="50" w:line="360" w:lineRule="auto"/>
              <w:ind w:firstLine="482" w:firstLineChars="200"/>
            </w:pPr>
            <w:r>
              <w:rPr>
                <w:b/>
                <w:bCs/>
              </w:rPr>
              <w:t>10、</w:t>
            </w:r>
            <w:r>
              <w:rPr>
                <w:rFonts w:hint="eastAsia"/>
                <w:b/>
                <w:bCs/>
              </w:rPr>
              <w:t>项目与</w:t>
            </w:r>
            <w:r>
              <w:rPr>
                <w:b/>
                <w:bCs/>
              </w:rPr>
              <w:t>昌吉回族自治州“三线一单”生态环境分区管控方案及生态环境准入清单</w:t>
            </w:r>
            <w:r>
              <w:rPr>
                <w:rFonts w:hint="eastAsia"/>
                <w:b/>
                <w:bCs/>
              </w:rPr>
              <w:t>符合性分析</w:t>
            </w:r>
          </w:p>
          <w:p>
            <w:pPr>
              <w:spacing w:before="120" w:beforeLines="50" w:line="360" w:lineRule="auto"/>
              <w:ind w:firstLine="480" w:firstLineChars="200"/>
              <w:rPr>
                <w:color w:val="FF0000"/>
              </w:rPr>
            </w:pPr>
            <w:r>
              <w:rPr>
                <w:rFonts w:hint="eastAsia"/>
                <w:color w:val="FF0000"/>
              </w:rPr>
              <w:t>项目位于昌吉高新产业技术开发区，根据</w:t>
            </w:r>
            <w:r>
              <w:rPr>
                <w:color w:val="FF0000"/>
              </w:rPr>
              <w:t>昌吉回族自治州“三线一单”生态环境分区管控方案</w:t>
            </w:r>
            <w:r>
              <w:rPr>
                <w:rFonts w:hint="eastAsia"/>
                <w:color w:val="FF0000"/>
              </w:rPr>
              <w:t>，项目属于重点管控单元，编码为</w:t>
            </w:r>
            <w:r>
              <w:rPr>
                <w:color w:val="FF0000"/>
              </w:rPr>
              <w:t>ZH65230120002</w:t>
            </w:r>
            <w:r>
              <w:rPr>
                <w:rFonts w:hint="eastAsia"/>
                <w:color w:val="FF0000"/>
              </w:rPr>
              <w:t>。</w:t>
            </w:r>
          </w:p>
          <w:p>
            <w:pPr>
              <w:pStyle w:val="100"/>
              <w:rPr>
                <w:rFonts w:ascii="宋体" w:hAnsi="宋体"/>
                <w:color w:val="FF0000"/>
              </w:rPr>
            </w:pPr>
            <w:r>
              <w:rPr>
                <w:color w:val="FF0000"/>
              </w:rPr>
              <w:t>表1-</w:t>
            </w:r>
            <w:r>
              <w:rPr>
                <w:rFonts w:hint="eastAsia"/>
                <w:color w:val="FF0000"/>
              </w:rPr>
              <w:t>7</w:t>
            </w:r>
            <w:r>
              <w:rPr>
                <w:color w:val="FF0000"/>
              </w:rPr>
              <w:t>项目与“昌吉回族自治州“三线一单”生态环境分区管控方案及生态环境准入清单”符合性分析一览表</w:t>
            </w:r>
          </w:p>
          <w:tbl>
            <w:tblPr>
              <w:tblStyle w:val="5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8"/>
              <w:gridCol w:w="337"/>
              <w:gridCol w:w="2820"/>
              <w:gridCol w:w="2161"/>
              <w:gridCol w:w="3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2" w:type="pct"/>
                  <w:vAlign w:val="center"/>
                </w:tcPr>
                <w:p>
                  <w:pPr>
                    <w:adjustRightInd w:val="0"/>
                    <w:snapToGrid w:val="0"/>
                    <w:jc w:val="center"/>
                    <w:rPr>
                      <w:b/>
                      <w:color w:val="FF0000"/>
                      <w:sz w:val="21"/>
                      <w:szCs w:val="21"/>
                    </w:rPr>
                  </w:pPr>
                  <w:r>
                    <w:rPr>
                      <w:rFonts w:hint="eastAsia"/>
                      <w:b/>
                      <w:color w:val="FF0000"/>
                      <w:sz w:val="21"/>
                      <w:szCs w:val="21"/>
                    </w:rPr>
                    <w:t>管控单元名称</w:t>
                  </w:r>
                </w:p>
              </w:tc>
              <w:tc>
                <w:tcPr>
                  <w:tcW w:w="2517" w:type="pct"/>
                  <w:gridSpan w:val="2"/>
                  <w:vAlign w:val="center"/>
                </w:tcPr>
                <w:p>
                  <w:pPr>
                    <w:adjustRightInd w:val="0"/>
                    <w:snapToGrid w:val="0"/>
                    <w:jc w:val="center"/>
                    <w:rPr>
                      <w:b/>
                      <w:color w:val="FF0000"/>
                      <w:sz w:val="21"/>
                      <w:szCs w:val="21"/>
                    </w:rPr>
                  </w:pPr>
                  <w:r>
                    <w:rPr>
                      <w:rFonts w:hint="eastAsia"/>
                      <w:b/>
                      <w:color w:val="FF0000"/>
                      <w:sz w:val="21"/>
                      <w:szCs w:val="21"/>
                    </w:rPr>
                    <w:t>管控要求</w:t>
                  </w:r>
                </w:p>
              </w:tc>
              <w:tc>
                <w:tcPr>
                  <w:tcW w:w="1723" w:type="pct"/>
                  <w:vAlign w:val="center"/>
                </w:tcPr>
                <w:p>
                  <w:pPr>
                    <w:adjustRightInd w:val="0"/>
                    <w:snapToGrid w:val="0"/>
                    <w:jc w:val="center"/>
                    <w:rPr>
                      <w:b/>
                      <w:color w:val="FF0000"/>
                      <w:sz w:val="21"/>
                      <w:szCs w:val="21"/>
                    </w:rPr>
                  </w:pPr>
                  <w:r>
                    <w:rPr>
                      <w:rFonts w:hint="eastAsia"/>
                      <w:b/>
                      <w:color w:val="FF0000"/>
                      <w:sz w:val="21"/>
                      <w:szCs w:val="21"/>
                    </w:rPr>
                    <w:t>项目情况</w:t>
                  </w:r>
                </w:p>
              </w:tc>
              <w:tc>
                <w:tcPr>
                  <w:tcW w:w="269" w:type="pct"/>
                  <w:vAlign w:val="center"/>
                </w:tcPr>
                <w:p>
                  <w:pPr>
                    <w:adjustRightInd w:val="0"/>
                    <w:snapToGrid w:val="0"/>
                    <w:jc w:val="center"/>
                    <w:rPr>
                      <w:b/>
                      <w:color w:val="FF0000"/>
                      <w:sz w:val="21"/>
                      <w:szCs w:val="21"/>
                    </w:rPr>
                  </w:pPr>
                  <w:r>
                    <w:rPr>
                      <w:rFonts w:hint="eastAsia"/>
                      <w:b/>
                      <w:color w:val="FF0000"/>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2" w:type="pct"/>
                  <w:vMerge w:val="restart"/>
                  <w:vAlign w:val="center"/>
                </w:tcPr>
                <w:p>
                  <w:pPr>
                    <w:adjustRightInd w:val="0"/>
                    <w:snapToGrid w:val="0"/>
                    <w:jc w:val="center"/>
                    <w:rPr>
                      <w:color w:val="FF0000"/>
                      <w:sz w:val="21"/>
                      <w:szCs w:val="21"/>
                    </w:rPr>
                  </w:pPr>
                  <w:r>
                    <w:rPr>
                      <w:rFonts w:hint="eastAsia"/>
                      <w:color w:val="FF0000"/>
                      <w:sz w:val="21"/>
                      <w:szCs w:val="21"/>
                    </w:rPr>
                    <w:t>昌吉高新产业技术开发区</w:t>
                  </w:r>
                </w:p>
              </w:tc>
              <w:tc>
                <w:tcPr>
                  <w:tcW w:w="269" w:type="pct"/>
                  <w:vAlign w:val="center"/>
                </w:tcPr>
                <w:p>
                  <w:pPr>
                    <w:adjustRightInd w:val="0"/>
                    <w:snapToGrid w:val="0"/>
                    <w:jc w:val="center"/>
                    <w:rPr>
                      <w:color w:val="FF0000"/>
                      <w:sz w:val="21"/>
                      <w:szCs w:val="21"/>
                    </w:rPr>
                  </w:pPr>
                  <w:r>
                    <w:rPr>
                      <w:rFonts w:hint="eastAsia"/>
                      <w:color w:val="FF0000"/>
                      <w:sz w:val="21"/>
                      <w:szCs w:val="21"/>
                    </w:rPr>
                    <w:t>空间布局约束</w:t>
                  </w:r>
                </w:p>
              </w:tc>
              <w:tc>
                <w:tcPr>
                  <w:tcW w:w="2248" w:type="pct"/>
                  <w:vAlign w:val="center"/>
                </w:tcPr>
                <w:p>
                  <w:pPr>
                    <w:adjustRightInd w:val="0"/>
                    <w:snapToGrid w:val="0"/>
                    <w:jc w:val="center"/>
                    <w:rPr>
                      <w:color w:val="FF0000"/>
                      <w:sz w:val="21"/>
                      <w:szCs w:val="21"/>
                    </w:rPr>
                  </w:pPr>
                  <w:r>
                    <w:rPr>
                      <w:rFonts w:hint="eastAsia"/>
                      <w:color w:val="FF0000"/>
                      <w:sz w:val="21"/>
                      <w:szCs w:val="21"/>
                    </w:rPr>
                    <w:t>1、执行自治区、乌昌石片区总体准入要求中关于重点管控单元空间布局约束的准入要求。</w:t>
                  </w:r>
                </w:p>
                <w:p>
                  <w:pPr>
                    <w:adjustRightInd w:val="0"/>
                    <w:snapToGrid w:val="0"/>
                    <w:jc w:val="center"/>
                    <w:rPr>
                      <w:color w:val="FF0000"/>
                      <w:sz w:val="21"/>
                      <w:szCs w:val="21"/>
                    </w:rPr>
                  </w:pPr>
                  <w:r>
                    <w:rPr>
                      <w:rFonts w:hint="eastAsia"/>
                      <w:color w:val="FF0000"/>
                      <w:sz w:val="21"/>
                      <w:szCs w:val="21"/>
                    </w:rPr>
                    <w:t>2、入园企业需符合园区产业发展定位，产业发展以装备制造、新材料产业、生物科技、食品产业、现代服务业为主导。</w:t>
                  </w:r>
                </w:p>
                <w:p>
                  <w:pPr>
                    <w:adjustRightInd w:val="0"/>
                    <w:snapToGrid w:val="0"/>
                    <w:jc w:val="center"/>
                    <w:rPr>
                      <w:color w:val="FF0000"/>
                      <w:sz w:val="21"/>
                      <w:szCs w:val="21"/>
                    </w:rPr>
                  </w:pPr>
                  <w:r>
                    <w:rPr>
                      <w:rFonts w:hint="eastAsia"/>
                      <w:color w:val="FF0000"/>
                      <w:sz w:val="21"/>
                      <w:szCs w:val="21"/>
                    </w:rPr>
                    <w:t>3、以水定产，严格限制发展高耗水、环境影响较大的行业。</w:t>
                  </w:r>
                </w:p>
              </w:tc>
              <w:tc>
                <w:tcPr>
                  <w:tcW w:w="1723" w:type="pct"/>
                  <w:vAlign w:val="center"/>
                </w:tcPr>
                <w:p>
                  <w:pPr>
                    <w:adjustRightInd w:val="0"/>
                    <w:snapToGrid w:val="0"/>
                    <w:jc w:val="center"/>
                    <w:rPr>
                      <w:color w:val="FF0000"/>
                      <w:sz w:val="21"/>
                      <w:szCs w:val="21"/>
                    </w:rPr>
                  </w:pPr>
                  <w:r>
                    <w:rPr>
                      <w:rFonts w:hint="eastAsia"/>
                      <w:color w:val="FF0000"/>
                      <w:sz w:val="21"/>
                      <w:szCs w:val="21"/>
                    </w:rPr>
                    <w:t>1、项目建设符合自治区、乌昌石片区重点管控单元空间布局约束准入要求；</w:t>
                  </w:r>
                </w:p>
                <w:p>
                  <w:pPr>
                    <w:adjustRightInd w:val="0"/>
                    <w:snapToGrid w:val="0"/>
                    <w:jc w:val="center"/>
                    <w:rPr>
                      <w:color w:val="FF0000"/>
                      <w:sz w:val="21"/>
                      <w:szCs w:val="21"/>
                    </w:rPr>
                  </w:pPr>
                  <w:r>
                    <w:rPr>
                      <w:rFonts w:hint="eastAsia"/>
                      <w:color w:val="FF0000"/>
                      <w:sz w:val="21"/>
                      <w:szCs w:val="21"/>
                    </w:rPr>
                    <w:t>2、项目符合园区产业定位。</w:t>
                  </w:r>
                </w:p>
                <w:p>
                  <w:pPr>
                    <w:adjustRightInd w:val="0"/>
                    <w:snapToGrid w:val="0"/>
                    <w:jc w:val="center"/>
                    <w:rPr>
                      <w:color w:val="FF0000"/>
                      <w:sz w:val="21"/>
                      <w:szCs w:val="21"/>
                    </w:rPr>
                  </w:pPr>
                  <w:r>
                    <w:rPr>
                      <w:rFonts w:hint="eastAsia"/>
                      <w:color w:val="FF0000"/>
                      <w:sz w:val="21"/>
                      <w:szCs w:val="21"/>
                    </w:rPr>
                    <w:t>3、本项目不属于高耗水、环境影响大的行业</w:t>
                  </w:r>
                </w:p>
              </w:tc>
              <w:tc>
                <w:tcPr>
                  <w:tcW w:w="269" w:type="pct"/>
                  <w:vAlign w:val="center"/>
                </w:tcPr>
                <w:p>
                  <w:pPr>
                    <w:adjustRightInd w:val="0"/>
                    <w:snapToGrid w:val="0"/>
                    <w:jc w:val="center"/>
                    <w:rPr>
                      <w:color w:val="FF0000"/>
                      <w:sz w:val="21"/>
                      <w:szCs w:val="21"/>
                    </w:rPr>
                  </w:pPr>
                  <w:r>
                    <w:rPr>
                      <w:rFonts w:hint="eastAsia"/>
                      <w:color w:val="FF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2" w:type="pct"/>
                  <w:vMerge w:val="continue"/>
                  <w:vAlign w:val="center"/>
                </w:tcPr>
                <w:p>
                  <w:pPr>
                    <w:adjustRightInd w:val="0"/>
                    <w:snapToGrid w:val="0"/>
                    <w:jc w:val="center"/>
                    <w:rPr>
                      <w:bCs/>
                      <w:color w:val="FF0000"/>
                      <w:sz w:val="21"/>
                      <w:szCs w:val="21"/>
                    </w:rPr>
                  </w:pPr>
                </w:p>
              </w:tc>
              <w:tc>
                <w:tcPr>
                  <w:tcW w:w="269" w:type="pct"/>
                  <w:vAlign w:val="center"/>
                </w:tcPr>
                <w:p>
                  <w:pPr>
                    <w:adjustRightInd w:val="0"/>
                    <w:snapToGrid w:val="0"/>
                    <w:jc w:val="center"/>
                    <w:rPr>
                      <w:color w:val="FF0000"/>
                      <w:sz w:val="21"/>
                      <w:szCs w:val="21"/>
                    </w:rPr>
                  </w:pPr>
                  <w:r>
                    <w:rPr>
                      <w:rFonts w:hint="eastAsia"/>
                      <w:color w:val="FF0000"/>
                      <w:sz w:val="21"/>
                      <w:szCs w:val="21"/>
                    </w:rPr>
                    <w:t>污染物排放管控</w:t>
                  </w:r>
                </w:p>
              </w:tc>
              <w:tc>
                <w:tcPr>
                  <w:tcW w:w="2248" w:type="pct"/>
                  <w:vAlign w:val="center"/>
                </w:tcPr>
                <w:p>
                  <w:pPr>
                    <w:adjustRightInd w:val="0"/>
                    <w:snapToGrid w:val="0"/>
                    <w:jc w:val="center"/>
                    <w:rPr>
                      <w:color w:val="FF0000"/>
                      <w:sz w:val="21"/>
                      <w:szCs w:val="21"/>
                    </w:rPr>
                  </w:pPr>
                  <w:r>
                    <w:rPr>
                      <w:rFonts w:hint="eastAsia"/>
                      <w:color w:val="FF0000"/>
                      <w:sz w:val="21"/>
                      <w:szCs w:val="21"/>
                    </w:rPr>
                    <w:t>1、执行自治区、乌昌石片区总体准入要求中关于重点管控单元污染物排放管控的准入要求。</w:t>
                  </w:r>
                </w:p>
                <w:p>
                  <w:pPr>
                    <w:adjustRightInd w:val="0"/>
                    <w:snapToGrid w:val="0"/>
                    <w:jc w:val="center"/>
                    <w:rPr>
                      <w:color w:val="FF0000"/>
                      <w:sz w:val="21"/>
                      <w:szCs w:val="21"/>
                    </w:rPr>
                  </w:pPr>
                  <w:r>
                    <w:rPr>
                      <w:rFonts w:hint="eastAsia"/>
                      <w:color w:val="FF0000"/>
                      <w:sz w:val="21"/>
                      <w:szCs w:val="21"/>
                    </w:rPr>
                    <w:t>2、新（改、扩）建项目应执行最严格的大气污染物排放标准。</w:t>
                  </w:r>
                </w:p>
                <w:p>
                  <w:pPr>
                    <w:adjustRightInd w:val="0"/>
                    <w:snapToGrid w:val="0"/>
                    <w:jc w:val="center"/>
                    <w:rPr>
                      <w:color w:val="FF0000"/>
                      <w:sz w:val="21"/>
                      <w:szCs w:val="21"/>
                    </w:rPr>
                  </w:pPr>
                  <w:r>
                    <w:rPr>
                      <w:rFonts w:hint="eastAsia"/>
                      <w:color w:val="FF0000"/>
                      <w:sz w:val="21"/>
                      <w:szCs w:val="21"/>
                    </w:rPr>
                    <w:t>3、PM</w:t>
                  </w:r>
                  <w:r>
                    <w:rPr>
                      <w:rFonts w:hint="eastAsia"/>
                      <w:color w:val="FF0000"/>
                      <w:sz w:val="21"/>
                      <w:szCs w:val="21"/>
                      <w:vertAlign w:val="subscript"/>
                    </w:rPr>
                    <w:t>2.5</w:t>
                  </w:r>
                  <w:r>
                    <w:rPr>
                      <w:rFonts w:hint="eastAsia"/>
                      <w:color w:val="FF0000"/>
                      <w:sz w:val="21"/>
                      <w:szCs w:val="21"/>
                    </w:rPr>
                    <w:t>年均浓度不达标城市，禁止新（改、扩）建未落实SO</w:t>
                  </w:r>
                  <w:r>
                    <w:rPr>
                      <w:rFonts w:hint="eastAsia"/>
                      <w:color w:val="FF0000"/>
                      <w:sz w:val="21"/>
                      <w:szCs w:val="21"/>
                      <w:vertAlign w:val="subscript"/>
                    </w:rPr>
                    <w:t>2</w:t>
                  </w:r>
                  <w:r>
                    <w:rPr>
                      <w:rFonts w:hint="eastAsia"/>
                      <w:color w:val="FF0000"/>
                      <w:sz w:val="21"/>
                      <w:szCs w:val="21"/>
                    </w:rPr>
                    <w:t>、NOx、烟粉尘、挥发性有机物（VOCs）等四项大气污染物总量指标昌吉州区域内倍量替代的项目。</w:t>
                  </w:r>
                </w:p>
                <w:p>
                  <w:pPr>
                    <w:adjustRightInd w:val="0"/>
                    <w:snapToGrid w:val="0"/>
                    <w:jc w:val="center"/>
                    <w:rPr>
                      <w:color w:val="FF0000"/>
                      <w:sz w:val="21"/>
                      <w:szCs w:val="21"/>
                    </w:rPr>
                  </w:pPr>
                  <w:r>
                    <w:rPr>
                      <w:rFonts w:hint="eastAsia"/>
                      <w:color w:val="FF0000"/>
                      <w:sz w:val="21"/>
                      <w:szCs w:val="21"/>
                    </w:rPr>
                    <w:t>4、严格限制石化、化工、包装印刷、工业涂装等高VOCs排放建设项目，严格涉VOCs建设项目环境影响评价，实行区域内VOCs排放倍量削减替代，并将替代方案落实到企业排污许可证中，纳入环境执法管理。新、改、扩建涉VOCs排放项目，应从源头加强控制，使用低（无）VOCs含量的原辅材料，加强废气收集，安装高效治理设施。</w:t>
                  </w:r>
                </w:p>
              </w:tc>
              <w:tc>
                <w:tcPr>
                  <w:tcW w:w="1723" w:type="pct"/>
                  <w:vAlign w:val="center"/>
                </w:tcPr>
                <w:p>
                  <w:pPr>
                    <w:adjustRightInd w:val="0"/>
                    <w:snapToGrid w:val="0"/>
                    <w:jc w:val="center"/>
                    <w:rPr>
                      <w:color w:val="FF0000"/>
                      <w:sz w:val="21"/>
                      <w:szCs w:val="21"/>
                    </w:rPr>
                  </w:pPr>
                  <w:r>
                    <w:rPr>
                      <w:rFonts w:hint="eastAsia"/>
                      <w:color w:val="FF0000"/>
                      <w:sz w:val="21"/>
                      <w:szCs w:val="21"/>
                    </w:rPr>
                    <w:t>1、项目建设符合自治区、乌昌石片区重点管控单元污染物排放管控准入要求；</w:t>
                  </w:r>
                </w:p>
                <w:p>
                  <w:pPr>
                    <w:adjustRightInd w:val="0"/>
                    <w:snapToGrid w:val="0"/>
                    <w:jc w:val="center"/>
                    <w:rPr>
                      <w:color w:val="FF0000"/>
                      <w:sz w:val="21"/>
                      <w:szCs w:val="21"/>
                    </w:rPr>
                  </w:pPr>
                  <w:r>
                    <w:rPr>
                      <w:rFonts w:hint="eastAsia"/>
                      <w:color w:val="FF0000"/>
                      <w:sz w:val="21"/>
                      <w:szCs w:val="21"/>
                    </w:rPr>
                    <w:t>2、本项目大气污染物排放标准均执行最严标准。</w:t>
                  </w:r>
                </w:p>
                <w:p>
                  <w:pPr>
                    <w:adjustRightInd w:val="0"/>
                    <w:snapToGrid w:val="0"/>
                    <w:jc w:val="center"/>
                    <w:rPr>
                      <w:color w:val="FF0000"/>
                      <w:sz w:val="21"/>
                      <w:szCs w:val="21"/>
                    </w:rPr>
                  </w:pPr>
                  <w:r>
                    <w:rPr>
                      <w:rFonts w:hint="eastAsia"/>
                      <w:color w:val="FF0000"/>
                      <w:sz w:val="21"/>
                      <w:szCs w:val="21"/>
                    </w:rPr>
                    <w:t>3、本项目所在区域PM</w:t>
                  </w:r>
                  <w:r>
                    <w:rPr>
                      <w:rFonts w:hint="eastAsia"/>
                      <w:color w:val="FF0000"/>
                      <w:sz w:val="21"/>
                      <w:szCs w:val="21"/>
                      <w:vertAlign w:val="subscript"/>
                    </w:rPr>
                    <w:t>2.5</w:t>
                  </w:r>
                  <w:r>
                    <w:rPr>
                      <w:rFonts w:hint="eastAsia"/>
                      <w:color w:val="FF0000"/>
                      <w:sz w:val="21"/>
                      <w:szCs w:val="21"/>
                    </w:rPr>
                    <w:t>年均浓度不达标，本项目排放烟粉尘、VOCs均实施倍量替代消减。</w:t>
                  </w:r>
                </w:p>
                <w:p>
                  <w:pPr>
                    <w:adjustRightInd w:val="0"/>
                    <w:snapToGrid w:val="0"/>
                    <w:jc w:val="center"/>
                    <w:rPr>
                      <w:color w:val="FF0000"/>
                      <w:sz w:val="21"/>
                      <w:szCs w:val="21"/>
                    </w:rPr>
                  </w:pPr>
                  <w:r>
                    <w:rPr>
                      <w:rFonts w:hint="eastAsia"/>
                      <w:color w:val="FF0000"/>
                      <w:sz w:val="21"/>
                      <w:szCs w:val="21"/>
                    </w:rPr>
                    <w:t>4、项目为刨花板技术改造项目，项目不属于石化、化工、包装印刷、工业涂装等高VOCs排放建设项目；项目产生的VOCs 经RTO蓄热式焚烧炉处理后达标排放；</w:t>
                  </w:r>
                </w:p>
                <w:p>
                  <w:pPr>
                    <w:adjustRightInd w:val="0"/>
                    <w:snapToGrid w:val="0"/>
                    <w:jc w:val="center"/>
                    <w:rPr>
                      <w:bCs/>
                      <w:color w:val="FF0000"/>
                      <w:sz w:val="21"/>
                      <w:szCs w:val="21"/>
                    </w:rPr>
                  </w:pPr>
                  <w:r>
                    <w:rPr>
                      <w:rFonts w:hint="eastAsia"/>
                      <w:color w:val="FF0000"/>
                      <w:sz w:val="21"/>
                      <w:szCs w:val="21"/>
                    </w:rPr>
                    <w:t>5、项目实行VOCs倍量替代方案，要求企业后续依法变更排污许可</w:t>
                  </w:r>
                </w:p>
              </w:tc>
              <w:tc>
                <w:tcPr>
                  <w:tcW w:w="269" w:type="pct"/>
                  <w:vAlign w:val="center"/>
                </w:tcPr>
                <w:p>
                  <w:pPr>
                    <w:adjustRightInd w:val="0"/>
                    <w:snapToGrid w:val="0"/>
                    <w:jc w:val="center"/>
                    <w:rPr>
                      <w:bCs/>
                      <w:color w:val="FF0000"/>
                      <w:sz w:val="21"/>
                      <w:szCs w:val="21"/>
                    </w:rPr>
                  </w:pPr>
                  <w:r>
                    <w:rPr>
                      <w:rFonts w:hint="eastAsia"/>
                      <w:color w:val="FF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2" w:type="pct"/>
                  <w:vMerge w:val="continue"/>
                  <w:vAlign w:val="center"/>
                </w:tcPr>
                <w:p>
                  <w:pPr>
                    <w:adjustRightInd w:val="0"/>
                    <w:snapToGrid w:val="0"/>
                    <w:jc w:val="center"/>
                    <w:rPr>
                      <w:bCs/>
                      <w:color w:val="FF0000"/>
                      <w:sz w:val="21"/>
                      <w:szCs w:val="21"/>
                    </w:rPr>
                  </w:pPr>
                </w:p>
              </w:tc>
              <w:tc>
                <w:tcPr>
                  <w:tcW w:w="269" w:type="pct"/>
                  <w:vAlign w:val="center"/>
                </w:tcPr>
                <w:p>
                  <w:pPr>
                    <w:adjustRightInd w:val="0"/>
                    <w:snapToGrid w:val="0"/>
                    <w:jc w:val="center"/>
                    <w:rPr>
                      <w:color w:val="FF0000"/>
                      <w:sz w:val="21"/>
                      <w:szCs w:val="21"/>
                    </w:rPr>
                  </w:pPr>
                  <w:r>
                    <w:rPr>
                      <w:rFonts w:hint="eastAsia"/>
                      <w:color w:val="FF0000"/>
                      <w:sz w:val="21"/>
                      <w:szCs w:val="21"/>
                    </w:rPr>
                    <w:t>环境风险防控</w:t>
                  </w:r>
                </w:p>
              </w:tc>
              <w:tc>
                <w:tcPr>
                  <w:tcW w:w="2248" w:type="pct"/>
                  <w:vAlign w:val="center"/>
                </w:tcPr>
                <w:p>
                  <w:pPr>
                    <w:adjustRightInd w:val="0"/>
                    <w:snapToGrid w:val="0"/>
                    <w:jc w:val="center"/>
                    <w:rPr>
                      <w:color w:val="FF0000"/>
                      <w:sz w:val="21"/>
                      <w:szCs w:val="21"/>
                    </w:rPr>
                  </w:pPr>
                  <w:r>
                    <w:rPr>
                      <w:rFonts w:hint="eastAsia"/>
                      <w:color w:val="FF0000"/>
                      <w:sz w:val="21"/>
                      <w:szCs w:val="21"/>
                    </w:rPr>
                    <w:t>1、执行自治区、乌昌石片区总体准入要求中关于重点管控单元环境风险防控的准入要求。</w:t>
                  </w:r>
                </w:p>
                <w:p>
                  <w:pPr>
                    <w:adjustRightInd w:val="0"/>
                    <w:snapToGrid w:val="0"/>
                    <w:jc w:val="center"/>
                    <w:rPr>
                      <w:color w:val="FF0000"/>
                      <w:sz w:val="21"/>
                      <w:szCs w:val="21"/>
                    </w:rPr>
                  </w:pPr>
                  <w:r>
                    <w:rPr>
                      <w:rFonts w:hint="eastAsia"/>
                      <w:color w:val="FF0000"/>
                      <w:sz w:val="21"/>
                      <w:szCs w:val="21"/>
                    </w:rPr>
                    <w:t>2、</w:t>
                  </w:r>
                  <w:r>
                    <w:rPr>
                      <w:color w:val="FF0000"/>
                      <w:sz w:val="21"/>
                      <w:szCs w:val="21"/>
                    </w:rPr>
                    <w:t>严格落实错峰生产方案和重污染天气应急响应措施。</w:t>
                  </w:r>
                </w:p>
                <w:p>
                  <w:pPr>
                    <w:adjustRightInd w:val="0"/>
                    <w:snapToGrid w:val="0"/>
                    <w:jc w:val="center"/>
                    <w:rPr>
                      <w:color w:val="FF0000"/>
                      <w:sz w:val="21"/>
                      <w:szCs w:val="21"/>
                    </w:rPr>
                  </w:pPr>
                  <w:r>
                    <w:rPr>
                      <w:rFonts w:hint="eastAsia"/>
                      <w:color w:val="FF0000"/>
                      <w:sz w:val="21"/>
                      <w:szCs w:val="21"/>
                    </w:rPr>
                    <w:t>3、</w:t>
                  </w:r>
                  <w:r>
                    <w:rPr>
                      <w:color w:val="FF0000"/>
                      <w:sz w:val="21"/>
                      <w:szCs w:val="21"/>
                    </w:rPr>
                    <w:t>生产、使用、贮存、运输、回收、处置、排放有毒有害物质的单位和个人，应当采取措施，防止有毒有害物质渗漏、流失、扬散，避免土壤受到污染。</w:t>
                  </w:r>
                </w:p>
              </w:tc>
              <w:tc>
                <w:tcPr>
                  <w:tcW w:w="1723" w:type="pct"/>
                  <w:vAlign w:val="center"/>
                </w:tcPr>
                <w:p>
                  <w:pPr>
                    <w:adjustRightInd w:val="0"/>
                    <w:snapToGrid w:val="0"/>
                    <w:jc w:val="center"/>
                    <w:rPr>
                      <w:color w:val="FF0000"/>
                      <w:sz w:val="21"/>
                      <w:szCs w:val="21"/>
                    </w:rPr>
                  </w:pPr>
                  <w:r>
                    <w:rPr>
                      <w:rFonts w:hint="eastAsia"/>
                      <w:color w:val="FF0000"/>
                      <w:sz w:val="21"/>
                      <w:szCs w:val="21"/>
                    </w:rPr>
                    <w:t>1、项目建设符合自治区、乌昌石片区总体准入要求中关于重点管控单元环境风险防控的准入要求。</w:t>
                  </w:r>
                </w:p>
                <w:p>
                  <w:pPr>
                    <w:adjustRightInd w:val="0"/>
                    <w:snapToGrid w:val="0"/>
                    <w:jc w:val="center"/>
                    <w:rPr>
                      <w:color w:val="FF0000"/>
                      <w:sz w:val="21"/>
                      <w:szCs w:val="21"/>
                    </w:rPr>
                  </w:pPr>
                  <w:r>
                    <w:rPr>
                      <w:rFonts w:hint="eastAsia"/>
                      <w:color w:val="FF0000"/>
                      <w:sz w:val="21"/>
                      <w:szCs w:val="21"/>
                    </w:rPr>
                    <w:t>2、本项目位于昌吉高新技术产业开发区，符合环境风险防控要求</w:t>
                  </w:r>
                </w:p>
                <w:p>
                  <w:pPr>
                    <w:adjustRightInd w:val="0"/>
                    <w:snapToGrid w:val="0"/>
                    <w:jc w:val="center"/>
                    <w:rPr>
                      <w:snapToGrid w:val="0"/>
                      <w:color w:val="FF0000"/>
                      <w:kern w:val="0"/>
                      <w:sz w:val="21"/>
                      <w:szCs w:val="21"/>
                    </w:rPr>
                  </w:pPr>
                  <w:r>
                    <w:rPr>
                      <w:rFonts w:hint="eastAsia"/>
                      <w:color w:val="FF0000"/>
                      <w:sz w:val="21"/>
                      <w:szCs w:val="21"/>
                    </w:rPr>
                    <w:t>3、项目采取措施防止有毒有害物质泄露、</w:t>
                  </w:r>
                  <w:r>
                    <w:rPr>
                      <w:color w:val="FF0000"/>
                      <w:sz w:val="21"/>
                      <w:szCs w:val="21"/>
                    </w:rPr>
                    <w:t>渗漏、流失、扬散</w:t>
                  </w:r>
                </w:p>
              </w:tc>
              <w:tc>
                <w:tcPr>
                  <w:tcW w:w="269" w:type="pct"/>
                  <w:vAlign w:val="center"/>
                </w:tcPr>
                <w:p>
                  <w:pPr>
                    <w:adjustRightInd w:val="0"/>
                    <w:snapToGrid w:val="0"/>
                    <w:jc w:val="center"/>
                    <w:rPr>
                      <w:bCs/>
                      <w:color w:val="FF0000"/>
                      <w:sz w:val="21"/>
                      <w:szCs w:val="21"/>
                    </w:rPr>
                  </w:pPr>
                  <w:r>
                    <w:rPr>
                      <w:rFonts w:hint="eastAsia"/>
                      <w:color w:val="FF0000"/>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2" w:type="pct"/>
                  <w:vMerge w:val="continue"/>
                  <w:vAlign w:val="center"/>
                </w:tcPr>
                <w:p>
                  <w:pPr>
                    <w:adjustRightInd w:val="0"/>
                    <w:snapToGrid w:val="0"/>
                    <w:jc w:val="center"/>
                    <w:rPr>
                      <w:bCs/>
                      <w:color w:val="FF0000"/>
                      <w:sz w:val="21"/>
                      <w:szCs w:val="21"/>
                    </w:rPr>
                  </w:pPr>
                </w:p>
              </w:tc>
              <w:tc>
                <w:tcPr>
                  <w:tcW w:w="269" w:type="pct"/>
                  <w:vAlign w:val="center"/>
                </w:tcPr>
                <w:p>
                  <w:pPr>
                    <w:adjustRightInd w:val="0"/>
                    <w:snapToGrid w:val="0"/>
                    <w:jc w:val="center"/>
                    <w:rPr>
                      <w:color w:val="FF0000"/>
                      <w:sz w:val="21"/>
                      <w:szCs w:val="21"/>
                    </w:rPr>
                  </w:pPr>
                  <w:r>
                    <w:rPr>
                      <w:rFonts w:hint="eastAsia"/>
                      <w:color w:val="FF0000"/>
                      <w:sz w:val="21"/>
                      <w:szCs w:val="21"/>
                    </w:rPr>
                    <w:t>资源利用效率</w:t>
                  </w:r>
                </w:p>
              </w:tc>
              <w:tc>
                <w:tcPr>
                  <w:tcW w:w="2248" w:type="pct"/>
                  <w:vAlign w:val="center"/>
                </w:tcPr>
                <w:p>
                  <w:pPr>
                    <w:adjustRightInd w:val="0"/>
                    <w:snapToGrid w:val="0"/>
                    <w:jc w:val="center"/>
                    <w:rPr>
                      <w:color w:val="FF0000"/>
                      <w:sz w:val="21"/>
                      <w:szCs w:val="21"/>
                    </w:rPr>
                  </w:pPr>
                  <w:r>
                    <w:rPr>
                      <w:color w:val="FF0000"/>
                      <w:sz w:val="21"/>
                      <w:szCs w:val="21"/>
                    </w:rPr>
                    <w:t>1、执行自治区、乌昌石片区总体准入要求中关于重点管控单元资源利用效率的准入要求（表2-3A6.4、表3.4-2 B4）。</w:t>
                  </w:r>
                </w:p>
                <w:p>
                  <w:pPr>
                    <w:adjustRightInd w:val="0"/>
                    <w:snapToGrid w:val="0"/>
                    <w:jc w:val="center"/>
                    <w:rPr>
                      <w:color w:val="FF0000"/>
                      <w:sz w:val="21"/>
                      <w:szCs w:val="21"/>
                    </w:rPr>
                  </w:pPr>
                  <w:r>
                    <w:rPr>
                      <w:color w:val="FF0000"/>
                      <w:sz w:val="21"/>
                      <w:szCs w:val="21"/>
                    </w:rPr>
                    <w:t>2、污水处理率达到90%以上，中水回用率达到95%以上。</w:t>
                  </w:r>
                </w:p>
                <w:p>
                  <w:pPr>
                    <w:adjustRightInd w:val="0"/>
                    <w:snapToGrid w:val="0"/>
                    <w:jc w:val="center"/>
                    <w:rPr>
                      <w:color w:val="FF0000"/>
                      <w:sz w:val="21"/>
                      <w:szCs w:val="21"/>
                    </w:rPr>
                  </w:pPr>
                  <w:r>
                    <w:rPr>
                      <w:color w:val="FF0000"/>
                      <w:sz w:val="21"/>
                      <w:szCs w:val="21"/>
                    </w:rPr>
                    <w:t>3、逐步停止开采地下水，优先使用地表水，地下水水源逐步转为备用水源。</w:t>
                  </w:r>
                </w:p>
                <w:p>
                  <w:pPr>
                    <w:adjustRightInd w:val="0"/>
                    <w:snapToGrid w:val="0"/>
                    <w:jc w:val="center"/>
                    <w:rPr>
                      <w:color w:val="FF0000"/>
                      <w:sz w:val="21"/>
                      <w:szCs w:val="21"/>
                    </w:rPr>
                  </w:pPr>
                  <w:r>
                    <w:rPr>
                      <w:color w:val="FF0000"/>
                      <w:sz w:val="21"/>
                      <w:szCs w:val="21"/>
                    </w:rPr>
                    <w:t>4、工业固体废物综合利用率达到90%以上。</w:t>
                  </w:r>
                </w:p>
                <w:p>
                  <w:pPr>
                    <w:adjustRightInd w:val="0"/>
                    <w:snapToGrid w:val="0"/>
                    <w:jc w:val="center"/>
                    <w:rPr>
                      <w:color w:val="FF0000"/>
                      <w:sz w:val="21"/>
                      <w:szCs w:val="21"/>
                    </w:rPr>
                  </w:pPr>
                  <w:r>
                    <w:rPr>
                      <w:color w:val="FF0000"/>
                      <w:sz w:val="21"/>
                      <w:szCs w:val="21"/>
                    </w:rPr>
                    <w:t>5、提高清洁能源使用占比，减少化石燃料使用量。</w:t>
                  </w:r>
                </w:p>
                <w:p>
                  <w:pPr>
                    <w:adjustRightInd w:val="0"/>
                    <w:snapToGrid w:val="0"/>
                    <w:jc w:val="center"/>
                    <w:rPr>
                      <w:color w:val="FF0000"/>
                      <w:sz w:val="21"/>
                      <w:szCs w:val="21"/>
                    </w:rPr>
                  </w:pPr>
                  <w:r>
                    <w:rPr>
                      <w:color w:val="FF0000"/>
                      <w:sz w:val="21"/>
                      <w:szCs w:val="21"/>
                    </w:rPr>
                    <w:t>6、园区水资源开发总量、土地投资强度、能耗消费增量等指标应达到水利、国土、能源等部门相应要求。</w:t>
                  </w:r>
                </w:p>
              </w:tc>
              <w:tc>
                <w:tcPr>
                  <w:tcW w:w="1723" w:type="pct"/>
                  <w:vAlign w:val="center"/>
                </w:tcPr>
                <w:p>
                  <w:pPr>
                    <w:adjustRightInd w:val="0"/>
                    <w:snapToGrid w:val="0"/>
                    <w:jc w:val="center"/>
                    <w:rPr>
                      <w:color w:val="FF0000"/>
                      <w:sz w:val="21"/>
                      <w:szCs w:val="21"/>
                    </w:rPr>
                  </w:pPr>
                  <w:r>
                    <w:rPr>
                      <w:rFonts w:hint="eastAsia"/>
                      <w:color w:val="FF0000"/>
                      <w:sz w:val="21"/>
                      <w:szCs w:val="21"/>
                    </w:rPr>
                    <w:t>1、本项目符合自治区、乌昌石片区总体准入要求中关于重点管控单元资源利用效率的准入要求</w:t>
                  </w:r>
                </w:p>
                <w:p>
                  <w:pPr>
                    <w:adjustRightInd w:val="0"/>
                    <w:snapToGrid w:val="0"/>
                    <w:jc w:val="center"/>
                    <w:rPr>
                      <w:color w:val="FF0000"/>
                      <w:sz w:val="21"/>
                      <w:szCs w:val="21"/>
                    </w:rPr>
                  </w:pPr>
                  <w:r>
                    <w:rPr>
                      <w:rFonts w:hint="eastAsia"/>
                      <w:color w:val="FF0000"/>
                      <w:sz w:val="21"/>
                      <w:szCs w:val="21"/>
                    </w:rPr>
                    <w:t>2、项目废水排入昌吉高新区污水处理站处理；</w:t>
                  </w:r>
                  <w:r>
                    <w:rPr>
                      <w:color w:val="FF0000"/>
                      <w:sz w:val="21"/>
                      <w:szCs w:val="21"/>
                    </w:rPr>
                    <w:t xml:space="preserve"> </w:t>
                  </w:r>
                </w:p>
                <w:p>
                  <w:pPr>
                    <w:adjustRightInd w:val="0"/>
                    <w:snapToGrid w:val="0"/>
                    <w:jc w:val="center"/>
                    <w:rPr>
                      <w:color w:val="FF0000"/>
                      <w:sz w:val="21"/>
                      <w:szCs w:val="21"/>
                    </w:rPr>
                  </w:pPr>
                  <w:r>
                    <w:rPr>
                      <w:rFonts w:hint="eastAsia"/>
                      <w:color w:val="FF0000"/>
                      <w:sz w:val="21"/>
                      <w:szCs w:val="21"/>
                    </w:rPr>
                    <w:t>3、项目工业固体废物合理处置；</w:t>
                  </w:r>
                </w:p>
                <w:p>
                  <w:pPr>
                    <w:adjustRightInd w:val="0"/>
                    <w:snapToGrid w:val="0"/>
                    <w:jc w:val="center"/>
                    <w:rPr>
                      <w:color w:val="FF0000"/>
                      <w:sz w:val="21"/>
                      <w:szCs w:val="21"/>
                    </w:rPr>
                  </w:pPr>
                  <w:r>
                    <w:rPr>
                      <w:rFonts w:hint="eastAsia"/>
                      <w:color w:val="FF0000"/>
                      <w:sz w:val="21"/>
                      <w:szCs w:val="21"/>
                    </w:rPr>
                    <w:t>4、项目使用清洁能源</w:t>
                  </w:r>
                </w:p>
                <w:p>
                  <w:pPr>
                    <w:adjustRightInd w:val="0"/>
                    <w:snapToGrid w:val="0"/>
                    <w:jc w:val="center"/>
                    <w:rPr>
                      <w:bCs/>
                      <w:color w:val="FF0000"/>
                      <w:sz w:val="21"/>
                      <w:szCs w:val="21"/>
                    </w:rPr>
                  </w:pPr>
                  <w:r>
                    <w:rPr>
                      <w:rFonts w:hint="eastAsia"/>
                      <w:color w:val="FF0000"/>
                      <w:sz w:val="21"/>
                      <w:szCs w:val="21"/>
                    </w:rPr>
                    <w:t>5、项目使用园区供水；土地利用符合园区规划</w:t>
                  </w:r>
                </w:p>
              </w:tc>
              <w:tc>
                <w:tcPr>
                  <w:tcW w:w="269" w:type="pct"/>
                  <w:vAlign w:val="center"/>
                </w:tcPr>
                <w:p>
                  <w:pPr>
                    <w:adjustRightInd w:val="0"/>
                    <w:snapToGrid w:val="0"/>
                    <w:jc w:val="center"/>
                    <w:rPr>
                      <w:bCs/>
                      <w:color w:val="FF0000"/>
                      <w:sz w:val="21"/>
                      <w:szCs w:val="21"/>
                    </w:rPr>
                  </w:pPr>
                  <w:r>
                    <w:rPr>
                      <w:rFonts w:hint="eastAsia"/>
                      <w:color w:val="FF0000"/>
                      <w:sz w:val="21"/>
                      <w:szCs w:val="21"/>
                    </w:rPr>
                    <w:t>符合</w:t>
                  </w:r>
                </w:p>
              </w:tc>
            </w:tr>
          </w:tbl>
          <w:p>
            <w:pPr>
              <w:snapToGrid w:val="0"/>
              <w:spacing w:before="120" w:beforeLines="50"/>
              <w:ind w:firstLine="482"/>
              <w:rPr>
                <w:color w:val="FF0000"/>
              </w:rPr>
            </w:pPr>
            <w:r>
              <w:rPr>
                <w:rFonts w:hint="eastAsia"/>
                <w:color w:val="FF0000"/>
              </w:rPr>
              <w:t>综上所述，该项目的建设符合国家产业政策，工程选址合理，平面布置合理，具有环境可行性。</w:t>
            </w:r>
          </w:p>
          <w:p>
            <w:pPr>
              <w:snapToGrid w:val="0"/>
              <w:spacing w:before="120" w:beforeLines="50"/>
              <w:ind w:firstLine="482"/>
              <w:rPr>
                <w:rFonts w:ascii="宋体" w:hAnsi="宋体" w:cs="宋体"/>
                <w:kern w:val="0"/>
                <w:szCs w:val="21"/>
              </w:rPr>
            </w:pPr>
          </w:p>
        </w:tc>
      </w:tr>
    </w:tbl>
    <w:p/>
    <w:p>
      <w:pPr>
        <w:spacing w:line="360" w:lineRule="auto"/>
        <w:outlineLvl w:val="0"/>
        <w:rPr>
          <w:rFonts w:eastAsia="黑体"/>
          <w:sz w:val="30"/>
        </w:rPr>
        <w:sectPr>
          <w:footerReference r:id="rId4" w:type="default"/>
          <w:pgSz w:w="11906" w:h="16838"/>
          <w:pgMar w:top="1701" w:right="1531" w:bottom="1701" w:left="1531" w:header="851" w:footer="1077" w:gutter="0"/>
          <w:pgNumType w:start="1"/>
          <w:cols w:space="720" w:num="1"/>
          <w:docGrid w:linePitch="312" w:charSpace="0"/>
        </w:sectPr>
      </w:pPr>
    </w:p>
    <w:p>
      <w:pPr>
        <w:pStyle w:val="44"/>
        <w:jc w:val="center"/>
        <w:outlineLvl w:val="0"/>
        <w:rPr>
          <w:rFonts w:ascii="黑体" w:hAnsi="黑体" w:eastAsia="黑体"/>
          <w:snapToGrid w:val="0"/>
          <w:sz w:val="30"/>
          <w:szCs w:val="30"/>
        </w:rPr>
      </w:pPr>
      <w:bookmarkStart w:id="4" w:name="_Toc86785830"/>
      <w:r>
        <w:rPr>
          <w:rFonts w:hint="eastAsia" w:ascii="黑体" w:hAnsi="黑体" w:eastAsia="黑体"/>
          <w:snapToGrid w:val="0"/>
          <w:sz w:val="30"/>
          <w:szCs w:val="30"/>
        </w:rPr>
        <w:t>二、建设项目工程分析</w:t>
      </w:r>
      <w:bookmarkEnd w:id="4"/>
    </w:p>
    <w:tbl>
      <w:tblPr>
        <w:tblStyle w:val="50"/>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4"/>
        <w:gridCol w:w="86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2" w:hRule="atLeast"/>
        </w:trPr>
        <w:tc>
          <w:tcPr>
            <w:tcW w:w="354" w:type="dxa"/>
            <w:vAlign w:val="center"/>
          </w:tcPr>
          <w:p>
            <w:pPr>
              <w:pStyle w:val="44"/>
              <w:adjustRightInd w:val="0"/>
              <w:snapToGrid w:val="0"/>
              <w:spacing w:before="0" w:beforeAutospacing="0" w:after="0" w:afterAutospacing="0"/>
              <w:jc w:val="center"/>
              <w:rPr>
                <w:rFonts w:cs="宋体"/>
                <w:sz w:val="21"/>
                <w:szCs w:val="21"/>
              </w:rPr>
            </w:pPr>
            <w:r>
              <w:rPr>
                <w:rFonts w:hint="eastAsia" w:cs="宋体"/>
                <w:sz w:val="21"/>
                <w:szCs w:val="21"/>
              </w:rPr>
              <w:t>建设内容</w:t>
            </w:r>
          </w:p>
        </w:tc>
        <w:tc>
          <w:tcPr>
            <w:tcW w:w="8630" w:type="dxa"/>
          </w:tcPr>
          <w:p>
            <w:pPr>
              <w:adjustRightInd w:val="0"/>
              <w:snapToGrid w:val="0"/>
              <w:spacing w:before="120" w:beforeLines="50" w:line="360" w:lineRule="auto"/>
              <w:ind w:firstLine="482" w:firstLineChars="200"/>
              <w:rPr>
                <w:b/>
                <w:lang w:val="en-GB" w:eastAsia="zh-TW"/>
              </w:rPr>
            </w:pPr>
            <w:r>
              <w:rPr>
                <w:b/>
                <w:lang w:val="en-GB" w:eastAsia="zh-TW"/>
              </w:rPr>
              <w:t>一、项目背景</w:t>
            </w:r>
          </w:p>
          <w:p>
            <w:pPr>
              <w:adjustRightInd w:val="0"/>
              <w:snapToGrid w:val="0"/>
              <w:spacing w:line="360" w:lineRule="auto"/>
              <w:ind w:right="62" w:rightChars="26" w:firstLine="480" w:firstLineChars="200"/>
            </w:pPr>
            <w:r>
              <w:rPr>
                <w:rFonts w:hint="eastAsia"/>
              </w:rPr>
              <w:t>新疆鑫汇众新型板业有限公司成立于2013年03月19日，注册地位于新疆昌吉州昌吉市高新技术产业开发区北环西路11号，法定代表人为聂小军。经营范围包括刨花板制造、销售；浸渍胶膜纸饰面人造板的制造与销售；其他再生物资的回收与批发，建材、机械设备、五金产品及电子产品的批发等。厂区对现有年产1</w:t>
            </w:r>
            <w:r>
              <w:t>0</w:t>
            </w:r>
            <w:r>
              <w:rPr>
                <w:rFonts w:hint="eastAsia"/>
              </w:rPr>
              <w:t>m</w:t>
            </w:r>
            <w:r>
              <w:rPr>
                <w:vertAlign w:val="superscript"/>
              </w:rPr>
              <w:t>3</w:t>
            </w:r>
            <w:r>
              <w:t>/a</w:t>
            </w:r>
            <w:r>
              <w:rPr>
                <w:rFonts w:hint="eastAsia"/>
              </w:rPr>
              <w:t>刨花板生产线进行升级改造，项目建成后可替代原生产线，建成年产8万m</w:t>
            </w:r>
            <w:r>
              <w:rPr>
                <w:vertAlign w:val="superscript"/>
              </w:rPr>
              <w:t>3</w:t>
            </w:r>
            <w:r>
              <w:t>/</w:t>
            </w:r>
            <w:r>
              <w:rPr>
                <w:rFonts w:hint="eastAsia"/>
              </w:rPr>
              <w:t>a定向刨花板（OSB）项目。</w:t>
            </w:r>
          </w:p>
          <w:p>
            <w:pPr>
              <w:adjustRightInd w:val="0"/>
              <w:snapToGrid w:val="0"/>
              <w:spacing w:line="360" w:lineRule="auto"/>
              <w:ind w:firstLine="480" w:firstLineChars="200"/>
              <w:rPr>
                <w:szCs w:val="20"/>
              </w:rPr>
            </w:pPr>
            <w:r>
              <w:rPr>
                <w:szCs w:val="20"/>
              </w:rPr>
              <w:t>根据《中华人民共和国环境影响评价法（2018年修正版）》及其它有关建设项目环境保护管理的规定，本项目需进行环境影响评价。依据《建设项目环境影响评价分类管理名录》（2021年版）中的有关规定，判定本项目属于名录中“</w:t>
            </w:r>
            <w:r>
              <w:rPr>
                <w:rFonts w:hint="eastAsia"/>
                <w:szCs w:val="20"/>
              </w:rPr>
              <w:t>十七、木材加工和木、竹、藤、棕、草制品业 20—34、人造板制造 202—其他</w:t>
            </w:r>
            <w:r>
              <w:rPr>
                <w:szCs w:val="20"/>
              </w:rPr>
              <w:t>”，故本项目应编制环境影响报告表。</w:t>
            </w:r>
          </w:p>
          <w:p>
            <w:pPr>
              <w:jc w:val="center"/>
              <w:rPr>
                <w:b/>
                <w:sz w:val="21"/>
              </w:rPr>
            </w:pPr>
            <w:r>
              <w:rPr>
                <w:b/>
                <w:sz w:val="21"/>
              </w:rPr>
              <w:t>表</w:t>
            </w:r>
            <w:r>
              <w:rPr>
                <w:rFonts w:hint="eastAsia"/>
                <w:b/>
                <w:sz w:val="21"/>
              </w:rPr>
              <w:t>2</w:t>
            </w:r>
            <w:r>
              <w:rPr>
                <w:b/>
                <w:sz w:val="21"/>
              </w:rPr>
              <w:t>-1  建设项目环境影响评价分类管理目录</w:t>
            </w:r>
          </w:p>
          <w:tbl>
            <w:tblPr>
              <w:tblStyle w:val="50"/>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9"/>
              <w:gridCol w:w="1985"/>
              <w:gridCol w:w="2969"/>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2529" w:type="dxa"/>
                  <w:tcBorders>
                    <w:left w:val="nil"/>
                    <w:tl2br w:val="single" w:color="auto" w:sz="4" w:space="0"/>
                  </w:tcBorders>
                  <w:shd w:val="clear" w:color="auto" w:fill="auto"/>
                  <w:vAlign w:val="center"/>
                </w:tcPr>
                <w:p>
                  <w:pPr>
                    <w:adjustRightInd w:val="0"/>
                    <w:snapToGrid w:val="0"/>
                    <w:spacing w:line="360" w:lineRule="exact"/>
                    <w:jc w:val="center"/>
                    <w:rPr>
                      <w:sz w:val="21"/>
                      <w:szCs w:val="21"/>
                    </w:rPr>
                  </w:pPr>
                  <w:r>
                    <w:rPr>
                      <w:sz w:val="21"/>
                      <w:szCs w:val="21"/>
                    </w:rPr>
                    <w:t xml:space="preserve">              环评类别</w:t>
                  </w:r>
                </w:p>
                <w:p>
                  <w:pPr>
                    <w:adjustRightInd w:val="0"/>
                    <w:snapToGrid w:val="0"/>
                    <w:spacing w:line="360" w:lineRule="exact"/>
                    <w:rPr>
                      <w:sz w:val="21"/>
                      <w:szCs w:val="21"/>
                    </w:rPr>
                  </w:pPr>
                  <w:r>
                    <w:rPr>
                      <w:sz w:val="21"/>
                      <w:szCs w:val="21"/>
                    </w:rPr>
                    <w:t>项目类别</w:t>
                  </w:r>
                </w:p>
              </w:tc>
              <w:tc>
                <w:tcPr>
                  <w:tcW w:w="1985" w:type="dxa"/>
                  <w:shd w:val="clear" w:color="auto" w:fill="auto"/>
                  <w:vAlign w:val="center"/>
                </w:tcPr>
                <w:p>
                  <w:pPr>
                    <w:adjustRightInd w:val="0"/>
                    <w:snapToGrid w:val="0"/>
                    <w:spacing w:line="360" w:lineRule="exact"/>
                    <w:jc w:val="center"/>
                    <w:rPr>
                      <w:sz w:val="21"/>
                      <w:szCs w:val="21"/>
                    </w:rPr>
                  </w:pPr>
                  <w:r>
                    <w:rPr>
                      <w:sz w:val="21"/>
                      <w:szCs w:val="21"/>
                    </w:rPr>
                    <w:t>报告书</w:t>
                  </w:r>
                </w:p>
              </w:tc>
              <w:tc>
                <w:tcPr>
                  <w:tcW w:w="2969" w:type="dxa"/>
                  <w:shd w:val="clear" w:color="auto" w:fill="auto"/>
                  <w:vAlign w:val="center"/>
                </w:tcPr>
                <w:p>
                  <w:pPr>
                    <w:adjustRightInd w:val="0"/>
                    <w:snapToGrid w:val="0"/>
                    <w:spacing w:line="360" w:lineRule="exact"/>
                    <w:jc w:val="center"/>
                    <w:rPr>
                      <w:sz w:val="21"/>
                      <w:szCs w:val="21"/>
                    </w:rPr>
                  </w:pPr>
                  <w:r>
                    <w:rPr>
                      <w:sz w:val="21"/>
                      <w:szCs w:val="21"/>
                    </w:rPr>
                    <w:t>报告表</w:t>
                  </w:r>
                </w:p>
              </w:tc>
              <w:tc>
                <w:tcPr>
                  <w:tcW w:w="975" w:type="dxa"/>
                  <w:tcBorders>
                    <w:right w:val="nil"/>
                  </w:tcBorders>
                  <w:shd w:val="clear" w:color="auto" w:fill="auto"/>
                  <w:vAlign w:val="center"/>
                </w:tcPr>
                <w:p>
                  <w:pPr>
                    <w:adjustRightInd w:val="0"/>
                    <w:snapToGrid w:val="0"/>
                    <w:spacing w:line="360" w:lineRule="exact"/>
                    <w:jc w:val="center"/>
                    <w:rPr>
                      <w:sz w:val="21"/>
                      <w:szCs w:val="21"/>
                    </w:rPr>
                  </w:pPr>
                  <w:r>
                    <w:rPr>
                      <w:sz w:val="21"/>
                      <w:szCs w:val="21"/>
                    </w:rPr>
                    <w:t>登记表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8458" w:type="dxa"/>
                  <w:gridSpan w:val="4"/>
                  <w:tcBorders>
                    <w:left w:val="nil"/>
                    <w:right w:val="nil"/>
                  </w:tcBorders>
                  <w:shd w:val="clear" w:color="auto" w:fill="auto"/>
                  <w:vAlign w:val="center"/>
                </w:tcPr>
                <w:p>
                  <w:pPr>
                    <w:adjustRightInd w:val="0"/>
                    <w:snapToGrid w:val="0"/>
                    <w:spacing w:line="360" w:lineRule="exact"/>
                    <w:jc w:val="center"/>
                    <w:rPr>
                      <w:sz w:val="21"/>
                      <w:szCs w:val="21"/>
                    </w:rPr>
                  </w:pPr>
                  <w:r>
                    <w:rPr>
                      <w:rFonts w:hint="eastAsia"/>
                      <w:sz w:val="21"/>
                      <w:szCs w:val="21"/>
                    </w:rPr>
                    <w:t>十七、木材加工和木、竹、藤、棕、草制品业 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jc w:val="center"/>
              </w:trPr>
              <w:tc>
                <w:tcPr>
                  <w:tcW w:w="2529" w:type="dxa"/>
                  <w:tcBorders>
                    <w:left w:val="nil"/>
                  </w:tcBorders>
                  <w:shd w:val="clear" w:color="auto" w:fill="auto"/>
                  <w:vAlign w:val="center"/>
                </w:tcPr>
                <w:p>
                  <w:pPr>
                    <w:adjustRightInd w:val="0"/>
                    <w:snapToGrid w:val="0"/>
                    <w:spacing w:line="360" w:lineRule="exact"/>
                    <w:jc w:val="center"/>
                    <w:rPr>
                      <w:sz w:val="21"/>
                      <w:szCs w:val="21"/>
                    </w:rPr>
                  </w:pPr>
                  <w:r>
                    <w:rPr>
                      <w:rFonts w:hint="eastAsia"/>
                      <w:sz w:val="21"/>
                      <w:szCs w:val="21"/>
                    </w:rPr>
                    <w:t>34 人造板制造 202</w:t>
                  </w:r>
                </w:p>
              </w:tc>
              <w:tc>
                <w:tcPr>
                  <w:tcW w:w="1985" w:type="dxa"/>
                  <w:shd w:val="clear" w:color="auto" w:fill="auto"/>
                  <w:vAlign w:val="center"/>
                </w:tcPr>
                <w:p>
                  <w:pPr>
                    <w:adjustRightInd w:val="0"/>
                    <w:snapToGrid w:val="0"/>
                    <w:spacing w:line="360" w:lineRule="exact"/>
                    <w:jc w:val="center"/>
                    <w:rPr>
                      <w:sz w:val="21"/>
                      <w:szCs w:val="21"/>
                    </w:rPr>
                  </w:pPr>
                  <w:r>
                    <w:rPr>
                      <w:rFonts w:hint="eastAsia"/>
                      <w:sz w:val="21"/>
                      <w:szCs w:val="21"/>
                    </w:rPr>
                    <w:t>年产20万立方米及以上的</w:t>
                  </w:r>
                </w:p>
              </w:tc>
              <w:tc>
                <w:tcPr>
                  <w:tcW w:w="2969" w:type="dxa"/>
                  <w:shd w:val="clear" w:color="auto" w:fill="auto"/>
                  <w:vAlign w:val="center"/>
                </w:tcPr>
                <w:p>
                  <w:pPr>
                    <w:adjustRightInd w:val="0"/>
                    <w:snapToGrid w:val="0"/>
                    <w:spacing w:line="360" w:lineRule="exact"/>
                    <w:jc w:val="center"/>
                    <w:rPr>
                      <w:sz w:val="21"/>
                      <w:szCs w:val="21"/>
                    </w:rPr>
                  </w:pPr>
                  <w:r>
                    <w:rPr>
                      <w:rFonts w:hint="eastAsia"/>
                      <w:sz w:val="21"/>
                      <w:szCs w:val="21"/>
                    </w:rPr>
                    <w:t>其他</w:t>
                  </w:r>
                </w:p>
              </w:tc>
              <w:tc>
                <w:tcPr>
                  <w:tcW w:w="975" w:type="dxa"/>
                  <w:tcBorders>
                    <w:right w:val="nil"/>
                  </w:tcBorders>
                  <w:shd w:val="clear" w:color="auto" w:fill="auto"/>
                  <w:vAlign w:val="center"/>
                </w:tcPr>
                <w:p>
                  <w:pPr>
                    <w:adjustRightInd w:val="0"/>
                    <w:snapToGrid w:val="0"/>
                    <w:spacing w:line="360" w:lineRule="exact"/>
                    <w:jc w:val="center"/>
                    <w:rPr>
                      <w:sz w:val="21"/>
                      <w:szCs w:val="21"/>
                    </w:rPr>
                  </w:pPr>
                  <w:r>
                    <w:rPr>
                      <w:sz w:val="21"/>
                      <w:szCs w:val="21"/>
                    </w:rPr>
                    <w:t>/</w:t>
                  </w:r>
                </w:p>
              </w:tc>
            </w:tr>
          </w:tbl>
          <w:p>
            <w:pPr>
              <w:spacing w:before="120" w:beforeLines="50" w:line="360" w:lineRule="auto"/>
              <w:ind w:firstLine="480" w:firstLineChars="200"/>
              <w:rPr>
                <w:szCs w:val="20"/>
              </w:rPr>
            </w:pPr>
            <w:r>
              <w:rPr>
                <w:szCs w:val="20"/>
              </w:rPr>
              <w:t>为此，</w:t>
            </w:r>
            <w:r>
              <w:rPr>
                <w:rFonts w:hint="eastAsia"/>
                <w:lang w:val="en-GB"/>
              </w:rPr>
              <w:t>新疆鑫汇众新型板业有限公司</w:t>
            </w:r>
            <w:r>
              <w:rPr>
                <w:szCs w:val="20"/>
              </w:rPr>
              <w:t>委托我单位承担本项目的环境影响评价工作。接受委托后，我单位立即派有关技术人员进行现场踏勘和资料收集，按照环境影响评价技术导则和规范要求，编制完成该项目环境影响报告表。</w:t>
            </w:r>
          </w:p>
          <w:p>
            <w:pPr>
              <w:autoSpaceDE w:val="0"/>
              <w:autoSpaceDN w:val="0"/>
              <w:spacing w:before="77" w:line="364" w:lineRule="auto"/>
              <w:ind w:left="240" w:leftChars="100" w:right="4469" w:firstLine="241" w:firstLineChars="100"/>
              <w:jc w:val="left"/>
              <w:rPr>
                <w:lang w:val="en-GB"/>
              </w:rPr>
            </w:pPr>
            <w:r>
              <w:rPr>
                <w:rFonts w:hint="eastAsia" w:ascii="宋体" w:hAnsi="宋体" w:cs="宋体"/>
                <w:b/>
                <w:bCs/>
                <w:kern w:val="0"/>
                <w:szCs w:val="22"/>
                <w:lang w:val="zh-CN" w:bidi="zh-CN"/>
              </w:rPr>
              <w:t>二</w:t>
            </w:r>
            <w:r>
              <w:rPr>
                <w:rFonts w:ascii="宋体" w:hAnsi="宋体" w:cs="宋体"/>
                <w:b/>
                <w:bCs/>
                <w:kern w:val="0"/>
                <w:szCs w:val="22"/>
                <w:lang w:val="zh-CN" w:bidi="zh-CN"/>
              </w:rPr>
              <w:t>、</w:t>
            </w:r>
            <w:r>
              <w:rPr>
                <w:rFonts w:hint="eastAsia" w:ascii="宋体" w:hAnsi="宋体" w:cs="宋体"/>
                <w:b/>
                <w:bCs/>
                <w:kern w:val="0"/>
                <w:szCs w:val="22"/>
                <w:lang w:val="zh-CN" w:bidi="zh-CN"/>
              </w:rPr>
              <w:t>新建项目</w:t>
            </w:r>
            <w:r>
              <w:rPr>
                <w:rFonts w:ascii="宋体" w:hAnsi="宋体" w:cs="宋体"/>
                <w:b/>
                <w:bCs/>
                <w:kern w:val="0"/>
                <w:szCs w:val="22"/>
                <w:lang w:val="zh-CN" w:bidi="zh-CN"/>
              </w:rPr>
              <w:t>工程</w:t>
            </w:r>
          </w:p>
          <w:p>
            <w:pPr>
              <w:adjustRightInd w:val="0"/>
              <w:snapToGrid w:val="0"/>
              <w:spacing w:line="360" w:lineRule="auto"/>
              <w:ind w:right="62" w:rightChars="26" w:firstLine="482" w:firstLineChars="200"/>
              <w:rPr>
                <w:b/>
              </w:rPr>
            </w:pPr>
            <w:r>
              <w:rPr>
                <w:b/>
              </w:rPr>
              <w:t>1、</w:t>
            </w:r>
            <w:r>
              <w:rPr>
                <w:rFonts w:hint="eastAsia"/>
                <w:b/>
              </w:rPr>
              <w:t>项目概况</w:t>
            </w:r>
          </w:p>
          <w:p>
            <w:pPr>
              <w:adjustRightInd w:val="0"/>
              <w:snapToGrid w:val="0"/>
              <w:spacing w:line="360" w:lineRule="auto"/>
              <w:ind w:right="62" w:rightChars="26" w:firstLine="480" w:firstLineChars="200"/>
            </w:pPr>
            <w:r>
              <w:t>本项目总投资3500万元，</w:t>
            </w:r>
            <w:r>
              <w:rPr>
                <w:rFonts w:hint="eastAsia"/>
              </w:rPr>
              <w:t>对厂区现有生产线进行升级改造，产品由刨花板升级为定向刨花板，项目购置旋切机、环刨机、打碎机、刨花湿料仓、木片湿料仓、干燥系统、热风除尘系统、计量传动料仓、大辊筒高效施胶机、定向刨花板铺装机等设备。改造完成后可实现年产8万m</w:t>
            </w:r>
            <w:r>
              <w:rPr>
                <w:vertAlign w:val="superscript"/>
              </w:rPr>
              <w:t>3</w:t>
            </w:r>
            <w:r>
              <w:rPr>
                <w:rFonts w:hint="eastAsia"/>
              </w:rPr>
              <w:t>定向刨花板。</w:t>
            </w:r>
          </w:p>
          <w:p>
            <w:pPr>
              <w:adjustRightInd w:val="0"/>
              <w:snapToGrid w:val="0"/>
              <w:spacing w:line="360" w:lineRule="auto"/>
              <w:ind w:right="62" w:rightChars="26" w:firstLine="480" w:firstLineChars="200"/>
            </w:pPr>
            <w:r>
              <w:rPr>
                <w:rFonts w:hint="eastAsia"/>
              </w:rPr>
              <w:t>项目主要技改内容如下：</w:t>
            </w:r>
          </w:p>
          <w:p>
            <w:pPr>
              <w:adjustRightInd w:val="0"/>
              <w:snapToGrid w:val="0"/>
              <w:spacing w:line="360" w:lineRule="auto"/>
              <w:ind w:right="62" w:rightChars="26" w:firstLine="480" w:firstLineChars="200"/>
            </w:pPr>
            <w:r>
              <w:rPr>
                <w:rFonts w:hint="eastAsia"/>
              </w:rPr>
              <w:t>①原削片机与刨片机更新为旋切与环刨机+打碎机</w:t>
            </w:r>
          </w:p>
          <w:p>
            <w:pPr>
              <w:adjustRightInd w:val="0"/>
              <w:snapToGrid w:val="0"/>
              <w:spacing w:line="360" w:lineRule="auto"/>
              <w:ind w:right="62" w:rightChars="26" w:firstLine="480" w:firstLineChars="200"/>
            </w:pPr>
            <w:r>
              <w:rPr>
                <w:rFonts w:hint="eastAsia"/>
              </w:rPr>
              <w:t>②新增刨花湿料仓、木片湿料仓等设备</w:t>
            </w:r>
          </w:p>
          <w:p>
            <w:pPr>
              <w:adjustRightInd w:val="0"/>
              <w:snapToGrid w:val="0"/>
              <w:spacing w:line="360" w:lineRule="auto"/>
              <w:ind w:right="62" w:rightChars="26" w:firstLine="480" w:firstLineChars="200"/>
            </w:pPr>
            <w:r>
              <w:rPr>
                <w:rFonts w:hint="eastAsia"/>
              </w:rPr>
              <w:t>③将现有混合干燥改为芯料与面料分开干燥，将现有混合干燥机改为风阻更小、更宜出料的扩张下料式干燥机；新加一套面料干燥系统与热风除尘系统；</w:t>
            </w:r>
          </w:p>
          <w:p>
            <w:pPr>
              <w:adjustRightInd w:val="0"/>
              <w:snapToGrid w:val="0"/>
              <w:spacing w:line="360" w:lineRule="auto"/>
              <w:ind w:right="62" w:rightChars="26" w:firstLine="480" w:firstLineChars="200"/>
            </w:pPr>
            <w:r>
              <w:rPr>
                <w:rFonts w:hint="eastAsia"/>
              </w:rPr>
              <w:t>④将现有两台干筛改为辊筒筛</w:t>
            </w:r>
          </w:p>
          <w:p>
            <w:pPr>
              <w:adjustRightInd w:val="0"/>
              <w:snapToGrid w:val="0"/>
              <w:spacing w:line="360" w:lineRule="auto"/>
              <w:ind w:right="62" w:rightChars="26" w:firstLine="480" w:firstLineChars="200"/>
            </w:pPr>
            <w:r>
              <w:rPr>
                <w:rFonts w:hint="eastAsia"/>
              </w:rPr>
              <w:t>⑤将现有芯面料固定料仓改为计量传动料仓</w:t>
            </w:r>
          </w:p>
          <w:p>
            <w:pPr>
              <w:adjustRightInd w:val="0"/>
              <w:snapToGrid w:val="0"/>
              <w:spacing w:line="360" w:lineRule="auto"/>
              <w:ind w:right="62" w:rightChars="26" w:firstLine="480" w:firstLineChars="200"/>
            </w:pPr>
            <w:r>
              <w:rPr>
                <w:rFonts w:hint="eastAsia"/>
              </w:rPr>
              <w:t>⑥将现有芯面料拌胶机改为大辊筒高效施胶机</w:t>
            </w:r>
          </w:p>
          <w:p>
            <w:pPr>
              <w:adjustRightInd w:val="0"/>
              <w:snapToGrid w:val="0"/>
              <w:spacing w:line="360" w:lineRule="auto"/>
              <w:ind w:right="62" w:rightChars="26" w:firstLine="480" w:firstLineChars="200"/>
            </w:pPr>
            <w:r>
              <w:rPr>
                <w:rFonts w:hint="eastAsia"/>
              </w:rPr>
              <w:t>⑦将现有刨花板铺装机改为专业OBS铺装机</w:t>
            </w:r>
          </w:p>
          <w:p>
            <w:pPr>
              <w:adjustRightInd w:val="0"/>
              <w:snapToGrid w:val="0"/>
              <w:spacing w:line="360" w:lineRule="auto"/>
              <w:ind w:right="62" w:rightChars="26" w:firstLine="480" w:firstLineChars="200"/>
            </w:pPr>
            <w:r>
              <w:rPr>
                <w:rFonts w:hint="eastAsia"/>
              </w:rPr>
              <w:t>⑧停用现有砂光工序</w:t>
            </w:r>
          </w:p>
          <w:p>
            <w:pPr>
              <w:spacing w:line="360" w:lineRule="auto"/>
              <w:ind w:firstLine="482" w:firstLineChars="200"/>
              <w:rPr>
                <w:b/>
                <w:lang w:val="en-GB"/>
              </w:rPr>
            </w:pPr>
            <w:r>
              <w:rPr>
                <w:rFonts w:hint="eastAsia"/>
                <w:b/>
                <w:lang w:val="en-GB"/>
              </w:rPr>
              <w:t>2</w:t>
            </w:r>
            <w:r>
              <w:rPr>
                <w:b/>
                <w:lang w:val="en-GB"/>
              </w:rPr>
              <w:t>、建设内容</w:t>
            </w:r>
          </w:p>
          <w:p>
            <w:pPr>
              <w:spacing w:line="360" w:lineRule="auto"/>
              <w:ind w:firstLine="480" w:firstLineChars="200"/>
              <w:jc w:val="left"/>
            </w:pPr>
            <w:r>
              <w:t>项目名称：</w:t>
            </w:r>
            <w:r>
              <w:rPr>
                <w:rFonts w:hint="eastAsia"/>
              </w:rPr>
              <w:t>刨花板技术改造项目</w:t>
            </w:r>
          </w:p>
          <w:p>
            <w:pPr>
              <w:spacing w:line="360" w:lineRule="auto"/>
              <w:ind w:firstLine="480" w:firstLineChars="200"/>
              <w:jc w:val="left"/>
            </w:pPr>
            <w:r>
              <w:t>建设性质：</w:t>
            </w:r>
            <w:r>
              <w:rPr>
                <w:rFonts w:hint="eastAsia"/>
              </w:rPr>
              <w:t>技术改造</w:t>
            </w:r>
          </w:p>
          <w:p>
            <w:pPr>
              <w:spacing w:line="360" w:lineRule="auto"/>
              <w:ind w:firstLine="480" w:firstLineChars="200"/>
              <w:jc w:val="left"/>
            </w:pPr>
            <w:r>
              <w:t>建设单位：新疆鑫汇众新型板业有限公司</w:t>
            </w:r>
          </w:p>
          <w:p>
            <w:pPr>
              <w:spacing w:line="360" w:lineRule="auto"/>
              <w:ind w:firstLine="480" w:firstLineChars="200"/>
            </w:pPr>
            <w:r>
              <w:t>建设地点：拟建项目位于</w:t>
            </w:r>
            <w:r>
              <w:rPr>
                <w:rFonts w:hint="eastAsia"/>
                <w:lang w:val="en-GB"/>
              </w:rPr>
              <w:t>新疆昌吉州昌吉市高新技术产业开发区北环西路11号</w:t>
            </w:r>
            <w:r>
              <w:t>，地理位置中心坐标为E</w:t>
            </w:r>
            <w:r>
              <w:rPr>
                <w:rFonts w:hint="eastAsia"/>
              </w:rPr>
              <w:t>87°02′41.844″，</w:t>
            </w:r>
            <w:r>
              <w:t xml:space="preserve"> N</w:t>
            </w:r>
            <w:r>
              <w:rPr>
                <w:rFonts w:hint="eastAsia"/>
              </w:rPr>
              <w:t>44°07′18.950″。项目利用厂区现有土地，不新增用地。厂区北侧为S201道路，西侧为</w:t>
            </w:r>
            <w:bookmarkStart w:id="5" w:name="_Hlk97468887"/>
            <w:r>
              <w:rPr>
                <w:rFonts w:hint="eastAsia"/>
              </w:rPr>
              <w:t>新疆澳唯克涂料制造有限公司</w:t>
            </w:r>
            <w:bookmarkEnd w:id="5"/>
            <w:r>
              <w:rPr>
                <w:rFonts w:hint="eastAsia"/>
              </w:rPr>
              <w:t>，南侧为</w:t>
            </w:r>
            <w:bookmarkStart w:id="6" w:name="_Hlk97468962"/>
            <w:r>
              <w:rPr>
                <w:rFonts w:hint="eastAsia"/>
              </w:rPr>
              <w:t>昌吉市金茂化工有限责任公司</w:t>
            </w:r>
            <w:bookmarkEnd w:id="6"/>
            <w:r>
              <w:rPr>
                <w:rFonts w:hint="eastAsia"/>
              </w:rPr>
              <w:t>，东侧为</w:t>
            </w:r>
            <w:bookmarkStart w:id="7" w:name="_Hlk97468939"/>
            <w:r>
              <w:rPr>
                <w:rFonts w:hint="eastAsia"/>
              </w:rPr>
              <w:t>新疆索科斯新材料有限公司</w:t>
            </w:r>
            <w:bookmarkEnd w:id="7"/>
            <w:r>
              <w:rPr>
                <w:rFonts w:hint="eastAsia"/>
              </w:rPr>
              <w:t>。</w:t>
            </w:r>
            <w:r>
              <w:t>具体建设地点见附图1</w:t>
            </w:r>
            <w:r>
              <w:rPr>
                <w:rFonts w:hint="eastAsia"/>
              </w:rPr>
              <w:t>，项目周边环境概况见附图2，项目敏感目标见附图3</w:t>
            </w:r>
            <w:r>
              <w:t>。</w:t>
            </w:r>
          </w:p>
          <w:p>
            <w:pPr>
              <w:adjustRightInd w:val="0"/>
              <w:snapToGrid w:val="0"/>
              <w:spacing w:line="360" w:lineRule="auto"/>
              <w:ind w:right="48" w:rightChars="20" w:firstLine="482" w:firstLineChars="200"/>
              <w:textAlignment w:val="baseline"/>
              <w:rPr>
                <w:b/>
                <w:bCs/>
                <w:lang w:val="en-GB"/>
              </w:rPr>
            </w:pPr>
            <w:r>
              <w:rPr>
                <w:b/>
                <w:bCs/>
                <w:lang w:val="en-GB"/>
              </w:rPr>
              <w:t>4</w:t>
            </w:r>
            <w:r>
              <w:rPr>
                <w:rFonts w:hint="eastAsia"/>
                <w:b/>
                <w:bCs/>
                <w:lang w:val="en-GB"/>
              </w:rPr>
              <w:t>、建设项目组成</w:t>
            </w:r>
          </w:p>
          <w:p>
            <w:pPr>
              <w:adjustRightInd w:val="0"/>
              <w:snapToGrid w:val="0"/>
              <w:spacing w:line="360" w:lineRule="auto"/>
              <w:ind w:right="48" w:rightChars="20" w:firstLine="480" w:firstLineChars="200"/>
              <w:textAlignment w:val="baseline"/>
              <w:rPr>
                <w:lang w:val="en-GB"/>
              </w:rPr>
            </w:pPr>
            <w:r>
              <w:rPr>
                <w:lang w:val="en-GB"/>
              </w:rPr>
              <w:t>拟建项目组成情况见表</w:t>
            </w:r>
            <w:r>
              <w:rPr>
                <w:rFonts w:hint="eastAsia"/>
              </w:rPr>
              <w:t>2</w:t>
            </w:r>
            <w:r>
              <w:t>-</w:t>
            </w:r>
            <w:r>
              <w:rPr>
                <w:lang w:val="en-GB"/>
              </w:rPr>
              <w:t>2。</w:t>
            </w:r>
          </w:p>
          <w:p>
            <w:pPr>
              <w:pStyle w:val="100"/>
            </w:pPr>
            <w:r>
              <w:t>表</w:t>
            </w:r>
            <w:r>
              <w:rPr>
                <w:rFonts w:hint="eastAsia"/>
              </w:rPr>
              <w:t>2</w:t>
            </w:r>
            <w:r>
              <w:t xml:space="preserve">-2 </w:t>
            </w:r>
            <w:r>
              <w:rPr>
                <w:rFonts w:hint="eastAsia"/>
              </w:rPr>
              <w:t>项目工程组成</w:t>
            </w:r>
          </w:p>
          <w:tbl>
            <w:tblPr>
              <w:tblStyle w:val="50"/>
              <w:tblW w:w="454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33"/>
              <w:gridCol w:w="857"/>
              <w:gridCol w:w="4888"/>
              <w:gridCol w:w="127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88" w:hRule="atLeast"/>
                <w:jc w:val="center"/>
              </w:trPr>
              <w:tc>
                <w:tcPr>
                  <w:tcW w:w="413" w:type="pct"/>
                  <w:vAlign w:val="center"/>
                </w:tcPr>
                <w:p>
                  <w:pPr>
                    <w:snapToGrid w:val="0"/>
                    <w:jc w:val="center"/>
                    <w:rPr>
                      <w:b/>
                      <w:bCs/>
                      <w:sz w:val="21"/>
                      <w:szCs w:val="21"/>
                    </w:rPr>
                  </w:pPr>
                  <w:r>
                    <w:rPr>
                      <w:b/>
                      <w:bCs/>
                      <w:sz w:val="21"/>
                      <w:szCs w:val="21"/>
                    </w:rPr>
                    <w:t>名称</w:t>
                  </w:r>
                </w:p>
              </w:tc>
              <w:tc>
                <w:tcPr>
                  <w:tcW w:w="560" w:type="pct"/>
                  <w:vAlign w:val="center"/>
                </w:tcPr>
                <w:p>
                  <w:pPr>
                    <w:snapToGrid w:val="0"/>
                    <w:jc w:val="center"/>
                    <w:rPr>
                      <w:b/>
                      <w:bCs/>
                      <w:sz w:val="21"/>
                      <w:szCs w:val="21"/>
                    </w:rPr>
                  </w:pPr>
                  <w:r>
                    <w:rPr>
                      <w:b/>
                      <w:bCs/>
                      <w:sz w:val="21"/>
                      <w:szCs w:val="21"/>
                    </w:rPr>
                    <w:t>项目</w:t>
                  </w:r>
                </w:p>
              </w:tc>
              <w:tc>
                <w:tcPr>
                  <w:tcW w:w="3193" w:type="pct"/>
                  <w:vAlign w:val="center"/>
                </w:tcPr>
                <w:p>
                  <w:pPr>
                    <w:snapToGrid w:val="0"/>
                    <w:jc w:val="center"/>
                    <w:rPr>
                      <w:b/>
                      <w:bCs/>
                      <w:sz w:val="21"/>
                      <w:szCs w:val="21"/>
                    </w:rPr>
                  </w:pPr>
                  <w:r>
                    <w:rPr>
                      <w:b/>
                      <w:bCs/>
                      <w:sz w:val="21"/>
                      <w:szCs w:val="21"/>
                    </w:rPr>
                    <w:t>规模及建设内容</w:t>
                  </w:r>
                </w:p>
              </w:tc>
              <w:tc>
                <w:tcPr>
                  <w:tcW w:w="834" w:type="pct"/>
                  <w:vAlign w:val="center"/>
                </w:tcPr>
                <w:p>
                  <w:pPr>
                    <w:snapToGrid w:val="0"/>
                    <w:jc w:val="center"/>
                    <w:rPr>
                      <w:b/>
                      <w:bCs/>
                      <w:sz w:val="21"/>
                      <w:szCs w:val="21"/>
                    </w:rPr>
                  </w:pPr>
                  <w:r>
                    <w:rPr>
                      <w:rFonts w:hint="eastAsia"/>
                      <w:b/>
                      <w:bCs/>
                      <w:sz w:val="21"/>
                      <w:szCs w:val="21"/>
                    </w:rPr>
                    <w:t>备注</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413" w:type="pct"/>
                  <w:vMerge w:val="restart"/>
                  <w:vAlign w:val="center"/>
                </w:tcPr>
                <w:p>
                  <w:pPr>
                    <w:snapToGrid w:val="0"/>
                    <w:jc w:val="center"/>
                    <w:rPr>
                      <w:sz w:val="21"/>
                      <w:szCs w:val="21"/>
                    </w:rPr>
                  </w:pPr>
                  <w:r>
                    <w:rPr>
                      <w:rFonts w:hint="eastAsia"/>
                      <w:sz w:val="21"/>
                      <w:szCs w:val="21"/>
                    </w:rPr>
                    <w:t>主体工程</w:t>
                  </w:r>
                </w:p>
              </w:tc>
              <w:tc>
                <w:tcPr>
                  <w:tcW w:w="560" w:type="pct"/>
                  <w:vAlign w:val="center"/>
                </w:tcPr>
                <w:p>
                  <w:pPr>
                    <w:snapToGrid w:val="0"/>
                    <w:jc w:val="center"/>
                    <w:rPr>
                      <w:sz w:val="21"/>
                      <w:szCs w:val="21"/>
                    </w:rPr>
                  </w:pPr>
                  <w:r>
                    <w:rPr>
                      <w:rFonts w:hint="eastAsia"/>
                      <w:sz w:val="21"/>
                      <w:szCs w:val="21"/>
                    </w:rPr>
                    <w:t>刨花车间</w:t>
                  </w:r>
                </w:p>
              </w:tc>
              <w:tc>
                <w:tcPr>
                  <w:tcW w:w="3193" w:type="pct"/>
                  <w:vAlign w:val="center"/>
                </w:tcPr>
                <w:p>
                  <w:pPr>
                    <w:snapToGrid w:val="0"/>
                    <w:jc w:val="center"/>
                    <w:rPr>
                      <w:sz w:val="21"/>
                      <w:szCs w:val="21"/>
                    </w:rPr>
                  </w:pPr>
                  <w:r>
                    <w:rPr>
                      <w:rFonts w:hint="eastAsia"/>
                      <w:sz w:val="21"/>
                      <w:szCs w:val="21"/>
                    </w:rPr>
                    <w:t>1层，建筑面积2</w:t>
                  </w:r>
                  <w:r>
                    <w:rPr>
                      <w:sz w:val="21"/>
                      <w:szCs w:val="21"/>
                    </w:rPr>
                    <w:t>400</w:t>
                  </w:r>
                  <w:r>
                    <w:rPr>
                      <w:rFonts w:hint="eastAsia"/>
                      <w:sz w:val="21"/>
                      <w:szCs w:val="21"/>
                    </w:rPr>
                    <w:t>m</w:t>
                  </w:r>
                  <w:r>
                    <w:rPr>
                      <w:sz w:val="21"/>
                      <w:szCs w:val="21"/>
                      <w:vertAlign w:val="superscript"/>
                    </w:rPr>
                    <w:t>2</w:t>
                  </w:r>
                  <w:r>
                    <w:rPr>
                      <w:rFonts w:hint="eastAsia"/>
                      <w:sz w:val="21"/>
                      <w:szCs w:val="21"/>
                    </w:rPr>
                    <w:t>，轻钢结构，用于刨花工序</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08"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rFonts w:hint="eastAsia"/>
                      <w:sz w:val="21"/>
                      <w:szCs w:val="21"/>
                    </w:rPr>
                    <w:t>热风干燥车间</w:t>
                  </w:r>
                </w:p>
              </w:tc>
              <w:tc>
                <w:tcPr>
                  <w:tcW w:w="3193" w:type="pct"/>
                  <w:vAlign w:val="center"/>
                </w:tcPr>
                <w:p>
                  <w:pPr>
                    <w:snapToGrid w:val="0"/>
                    <w:jc w:val="center"/>
                    <w:rPr>
                      <w:sz w:val="21"/>
                      <w:szCs w:val="21"/>
                    </w:rPr>
                  </w:pPr>
                  <w:r>
                    <w:rPr>
                      <w:rFonts w:hint="eastAsia"/>
                      <w:sz w:val="21"/>
                      <w:szCs w:val="21"/>
                    </w:rPr>
                    <w:t>1层，建筑面积2</w:t>
                  </w:r>
                  <w:r>
                    <w:rPr>
                      <w:sz w:val="21"/>
                      <w:szCs w:val="21"/>
                    </w:rPr>
                    <w:t>226</w:t>
                  </w:r>
                  <w:r>
                    <w:rPr>
                      <w:rFonts w:hint="eastAsia"/>
                      <w:sz w:val="21"/>
                      <w:szCs w:val="21"/>
                    </w:rPr>
                    <w:t>m</w:t>
                  </w:r>
                  <w:r>
                    <w:rPr>
                      <w:sz w:val="21"/>
                      <w:szCs w:val="21"/>
                      <w:vertAlign w:val="superscript"/>
                    </w:rPr>
                    <w:t>2</w:t>
                  </w:r>
                  <w:r>
                    <w:rPr>
                      <w:rFonts w:hint="eastAsia"/>
                      <w:sz w:val="21"/>
                      <w:szCs w:val="21"/>
                    </w:rPr>
                    <w:t>，轻钢结构，用于干燥工序</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rFonts w:hint="eastAsia"/>
                      <w:sz w:val="21"/>
                      <w:szCs w:val="21"/>
                    </w:rPr>
                    <w:t>施胶车间</w:t>
                  </w:r>
                </w:p>
              </w:tc>
              <w:tc>
                <w:tcPr>
                  <w:tcW w:w="3193" w:type="pct"/>
                  <w:vAlign w:val="center"/>
                </w:tcPr>
                <w:p>
                  <w:pPr>
                    <w:snapToGrid w:val="0"/>
                    <w:jc w:val="center"/>
                    <w:rPr>
                      <w:sz w:val="21"/>
                      <w:szCs w:val="21"/>
                    </w:rPr>
                  </w:pPr>
                  <w:r>
                    <w:rPr>
                      <w:rFonts w:hint="eastAsia"/>
                      <w:sz w:val="21"/>
                      <w:szCs w:val="21"/>
                    </w:rPr>
                    <w:t>1层，建筑面积</w:t>
                  </w:r>
                  <w:r>
                    <w:rPr>
                      <w:sz w:val="21"/>
                      <w:szCs w:val="21"/>
                    </w:rPr>
                    <w:t>850</w:t>
                  </w:r>
                  <w:r>
                    <w:rPr>
                      <w:rFonts w:hint="eastAsia"/>
                      <w:sz w:val="21"/>
                      <w:szCs w:val="21"/>
                    </w:rPr>
                    <w:t>m</w:t>
                  </w:r>
                  <w:r>
                    <w:rPr>
                      <w:sz w:val="21"/>
                      <w:szCs w:val="21"/>
                      <w:vertAlign w:val="superscript"/>
                    </w:rPr>
                    <w:t>2</w:t>
                  </w:r>
                  <w:r>
                    <w:rPr>
                      <w:rFonts w:hint="eastAsia"/>
                      <w:sz w:val="21"/>
                      <w:szCs w:val="21"/>
                    </w:rPr>
                    <w:t>，轻钢结构，用于施胶工序</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33" w:hRule="atLeast"/>
                <w:jc w:val="center"/>
              </w:trPr>
              <w:tc>
                <w:tcPr>
                  <w:tcW w:w="413" w:type="pct"/>
                  <w:vMerge w:val="restart"/>
                  <w:vAlign w:val="center"/>
                </w:tcPr>
                <w:p>
                  <w:pPr>
                    <w:snapToGrid w:val="0"/>
                    <w:jc w:val="center"/>
                    <w:rPr>
                      <w:sz w:val="21"/>
                      <w:szCs w:val="21"/>
                    </w:rPr>
                  </w:pPr>
                  <w:r>
                    <w:rPr>
                      <w:sz w:val="21"/>
                      <w:szCs w:val="21"/>
                    </w:rPr>
                    <w:t>辅助工程</w:t>
                  </w:r>
                </w:p>
              </w:tc>
              <w:tc>
                <w:tcPr>
                  <w:tcW w:w="560" w:type="pct"/>
                  <w:vAlign w:val="center"/>
                </w:tcPr>
                <w:p>
                  <w:pPr>
                    <w:snapToGrid w:val="0"/>
                    <w:jc w:val="center"/>
                    <w:rPr>
                      <w:sz w:val="21"/>
                      <w:szCs w:val="21"/>
                    </w:rPr>
                  </w:pPr>
                  <w:r>
                    <w:rPr>
                      <w:rFonts w:hint="eastAsia"/>
                      <w:sz w:val="21"/>
                      <w:szCs w:val="21"/>
                    </w:rPr>
                    <w:t>原料堆场</w:t>
                  </w:r>
                </w:p>
              </w:tc>
              <w:tc>
                <w:tcPr>
                  <w:tcW w:w="3193" w:type="pct"/>
                  <w:vAlign w:val="center"/>
                </w:tcPr>
                <w:p>
                  <w:pPr>
                    <w:snapToGrid w:val="0"/>
                    <w:jc w:val="center"/>
                    <w:rPr>
                      <w:sz w:val="21"/>
                      <w:szCs w:val="21"/>
                    </w:rPr>
                  </w:pPr>
                  <w:r>
                    <w:rPr>
                      <w:rFonts w:hint="eastAsia"/>
                      <w:sz w:val="21"/>
                      <w:szCs w:val="21"/>
                    </w:rPr>
                    <w:t>1层，建筑面积2</w:t>
                  </w:r>
                  <w:r>
                    <w:rPr>
                      <w:sz w:val="21"/>
                      <w:szCs w:val="21"/>
                    </w:rPr>
                    <w:t>845</w:t>
                  </w:r>
                  <w:r>
                    <w:rPr>
                      <w:rFonts w:hint="eastAsia"/>
                      <w:sz w:val="21"/>
                      <w:szCs w:val="21"/>
                    </w:rPr>
                    <w:t>m</w:t>
                  </w:r>
                  <w:r>
                    <w:rPr>
                      <w:sz w:val="21"/>
                      <w:szCs w:val="21"/>
                      <w:vertAlign w:val="superscript"/>
                    </w:rPr>
                    <w:t>2</w:t>
                  </w:r>
                  <w:r>
                    <w:rPr>
                      <w:rFonts w:hint="eastAsia"/>
                      <w:sz w:val="21"/>
                      <w:szCs w:val="21"/>
                    </w:rPr>
                    <w:t>，简易工棚</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sz w:val="21"/>
                      <w:szCs w:val="21"/>
                    </w:rPr>
                    <w:t>成品库</w:t>
                  </w:r>
                </w:p>
              </w:tc>
              <w:tc>
                <w:tcPr>
                  <w:tcW w:w="3193" w:type="pct"/>
                  <w:vAlign w:val="center"/>
                </w:tcPr>
                <w:p>
                  <w:pPr>
                    <w:snapToGrid w:val="0"/>
                    <w:jc w:val="center"/>
                    <w:rPr>
                      <w:sz w:val="21"/>
                      <w:szCs w:val="21"/>
                    </w:rPr>
                  </w:pPr>
                  <w:r>
                    <w:rPr>
                      <w:rFonts w:hint="eastAsia"/>
                      <w:sz w:val="21"/>
                      <w:szCs w:val="21"/>
                    </w:rPr>
                    <w:t>1层，建筑面积2</w:t>
                  </w:r>
                  <w:r>
                    <w:rPr>
                      <w:sz w:val="21"/>
                      <w:szCs w:val="21"/>
                    </w:rPr>
                    <w:t>880</w:t>
                  </w:r>
                  <w:r>
                    <w:rPr>
                      <w:rFonts w:hint="eastAsia"/>
                      <w:sz w:val="21"/>
                      <w:szCs w:val="21"/>
                    </w:rPr>
                    <w:t>m</w:t>
                  </w:r>
                  <w:r>
                    <w:rPr>
                      <w:sz w:val="21"/>
                      <w:szCs w:val="21"/>
                      <w:vertAlign w:val="superscript"/>
                    </w:rPr>
                    <w:t>2</w:t>
                  </w:r>
                  <w:r>
                    <w:rPr>
                      <w:rFonts w:hint="eastAsia"/>
                      <w:sz w:val="21"/>
                      <w:szCs w:val="21"/>
                    </w:rPr>
                    <w:t>，轻钢结构</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sz w:val="21"/>
                      <w:szCs w:val="21"/>
                    </w:rPr>
                    <w:t>办公</w:t>
                  </w:r>
                  <w:r>
                    <w:rPr>
                      <w:rFonts w:hint="eastAsia"/>
                      <w:sz w:val="21"/>
                      <w:szCs w:val="21"/>
                    </w:rPr>
                    <w:t>生活区</w:t>
                  </w:r>
                </w:p>
              </w:tc>
              <w:tc>
                <w:tcPr>
                  <w:tcW w:w="3193" w:type="pct"/>
                  <w:vAlign w:val="center"/>
                </w:tcPr>
                <w:p>
                  <w:pPr>
                    <w:snapToGrid w:val="0"/>
                    <w:jc w:val="center"/>
                    <w:rPr>
                      <w:sz w:val="21"/>
                      <w:szCs w:val="21"/>
                    </w:rPr>
                  </w:pPr>
                  <w:r>
                    <w:rPr>
                      <w:rFonts w:hint="eastAsia"/>
                      <w:sz w:val="21"/>
                      <w:szCs w:val="21"/>
                    </w:rPr>
                    <w:t>2层，建筑面积</w:t>
                  </w:r>
                  <w:r>
                    <w:rPr>
                      <w:sz w:val="21"/>
                      <w:szCs w:val="21"/>
                    </w:rPr>
                    <w:t>1100</w:t>
                  </w:r>
                  <w:r>
                    <w:rPr>
                      <w:rFonts w:hint="eastAsia"/>
                      <w:sz w:val="21"/>
                      <w:szCs w:val="21"/>
                    </w:rPr>
                    <w:t>m</w:t>
                  </w:r>
                  <w:r>
                    <w:rPr>
                      <w:sz w:val="21"/>
                      <w:szCs w:val="21"/>
                      <w:vertAlign w:val="superscript"/>
                    </w:rPr>
                    <w:t>2</w:t>
                  </w:r>
                  <w:r>
                    <w:rPr>
                      <w:rFonts w:hint="eastAsia"/>
                      <w:sz w:val="21"/>
                      <w:szCs w:val="21"/>
                    </w:rPr>
                    <w:t>，砖混结构</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33"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color w:val="FF0000"/>
                      <w:sz w:val="21"/>
                      <w:szCs w:val="21"/>
                    </w:rPr>
                  </w:pPr>
                  <w:r>
                    <w:rPr>
                      <w:color w:val="FF0000"/>
                      <w:sz w:val="21"/>
                      <w:szCs w:val="21"/>
                    </w:rPr>
                    <w:t>锅炉房</w:t>
                  </w:r>
                  <w:r>
                    <w:rPr>
                      <w:rFonts w:hint="eastAsia"/>
                      <w:color w:val="FF0000"/>
                      <w:sz w:val="21"/>
                      <w:szCs w:val="21"/>
                    </w:rPr>
                    <w:t>/</w:t>
                  </w:r>
                  <w:r>
                    <w:rPr>
                      <w:color w:val="FF0000"/>
                      <w:sz w:val="21"/>
                      <w:szCs w:val="21"/>
                    </w:rPr>
                    <w:t>导热油炉房</w:t>
                  </w:r>
                </w:p>
              </w:tc>
              <w:tc>
                <w:tcPr>
                  <w:tcW w:w="3193" w:type="pct"/>
                  <w:vAlign w:val="center"/>
                </w:tcPr>
                <w:p>
                  <w:pPr>
                    <w:snapToGrid w:val="0"/>
                    <w:jc w:val="center"/>
                    <w:rPr>
                      <w:color w:val="FF0000"/>
                      <w:sz w:val="21"/>
                      <w:szCs w:val="21"/>
                    </w:rPr>
                  </w:pPr>
                  <w:r>
                    <w:rPr>
                      <w:rFonts w:hint="eastAsia"/>
                      <w:color w:val="FF0000"/>
                      <w:sz w:val="21"/>
                      <w:szCs w:val="21"/>
                    </w:rPr>
                    <w:t>1层，建筑面积2</w:t>
                  </w:r>
                  <w:r>
                    <w:rPr>
                      <w:color w:val="FF0000"/>
                      <w:sz w:val="21"/>
                      <w:szCs w:val="21"/>
                    </w:rPr>
                    <w:t>10</w:t>
                  </w:r>
                  <w:r>
                    <w:rPr>
                      <w:rFonts w:hint="eastAsia"/>
                      <w:color w:val="FF0000"/>
                      <w:sz w:val="21"/>
                      <w:szCs w:val="21"/>
                    </w:rPr>
                    <w:t>m</w:t>
                  </w:r>
                  <w:r>
                    <w:rPr>
                      <w:color w:val="FF0000"/>
                      <w:sz w:val="21"/>
                      <w:szCs w:val="21"/>
                      <w:vertAlign w:val="superscript"/>
                    </w:rPr>
                    <w:t>2</w:t>
                  </w:r>
                  <w:r>
                    <w:rPr>
                      <w:rFonts w:hint="eastAsia"/>
                      <w:color w:val="FF0000"/>
                      <w:sz w:val="21"/>
                      <w:szCs w:val="21"/>
                    </w:rPr>
                    <w:t>，轻钢结构，内设天然气导热油锅炉一台</w:t>
                  </w:r>
                </w:p>
              </w:tc>
              <w:tc>
                <w:tcPr>
                  <w:tcW w:w="834" w:type="pct"/>
                  <w:vAlign w:val="center"/>
                </w:tcPr>
                <w:p>
                  <w:pPr>
                    <w:snapToGrid w:val="0"/>
                    <w:jc w:val="center"/>
                    <w:rPr>
                      <w:color w:val="FF0000"/>
                      <w:sz w:val="21"/>
                      <w:szCs w:val="21"/>
                    </w:rPr>
                  </w:pPr>
                  <w:r>
                    <w:rPr>
                      <w:rFonts w:hint="eastAsia"/>
                      <w:color w:val="FF0000"/>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rFonts w:hint="eastAsia"/>
                      <w:sz w:val="21"/>
                      <w:szCs w:val="21"/>
                    </w:rPr>
                    <w:t>配件库及机修间</w:t>
                  </w:r>
                </w:p>
              </w:tc>
              <w:tc>
                <w:tcPr>
                  <w:tcW w:w="3193" w:type="pct"/>
                  <w:vAlign w:val="center"/>
                </w:tcPr>
                <w:p>
                  <w:pPr>
                    <w:snapToGrid w:val="0"/>
                    <w:jc w:val="center"/>
                    <w:rPr>
                      <w:sz w:val="21"/>
                      <w:szCs w:val="21"/>
                    </w:rPr>
                  </w:pPr>
                  <w:r>
                    <w:rPr>
                      <w:rFonts w:hint="eastAsia"/>
                      <w:sz w:val="21"/>
                      <w:szCs w:val="21"/>
                    </w:rPr>
                    <w:t>1层，建筑面积1</w:t>
                  </w:r>
                  <w:r>
                    <w:rPr>
                      <w:sz w:val="21"/>
                      <w:szCs w:val="21"/>
                    </w:rPr>
                    <w:t>20</w:t>
                  </w:r>
                  <w:r>
                    <w:rPr>
                      <w:rFonts w:hint="eastAsia"/>
                      <w:sz w:val="21"/>
                      <w:szCs w:val="21"/>
                    </w:rPr>
                    <w:t>m</w:t>
                  </w:r>
                  <w:r>
                    <w:rPr>
                      <w:sz w:val="21"/>
                      <w:szCs w:val="21"/>
                      <w:vertAlign w:val="superscript"/>
                    </w:rPr>
                    <w:t>2</w:t>
                  </w:r>
                  <w:r>
                    <w:rPr>
                      <w:rFonts w:hint="eastAsia"/>
                      <w:sz w:val="21"/>
                      <w:szCs w:val="21"/>
                    </w:rPr>
                    <w:t>，砖混结构</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22" w:hRule="atLeast"/>
                <w:jc w:val="center"/>
              </w:trPr>
              <w:tc>
                <w:tcPr>
                  <w:tcW w:w="413" w:type="pct"/>
                  <w:vMerge w:val="restart"/>
                  <w:vAlign w:val="center"/>
                </w:tcPr>
                <w:p>
                  <w:pPr>
                    <w:snapToGrid w:val="0"/>
                    <w:jc w:val="center"/>
                    <w:rPr>
                      <w:sz w:val="21"/>
                      <w:szCs w:val="21"/>
                    </w:rPr>
                  </w:pPr>
                  <w:r>
                    <w:rPr>
                      <w:sz w:val="21"/>
                      <w:szCs w:val="21"/>
                    </w:rPr>
                    <w:t>公用工程</w:t>
                  </w:r>
                </w:p>
              </w:tc>
              <w:tc>
                <w:tcPr>
                  <w:tcW w:w="560" w:type="pct"/>
                  <w:vAlign w:val="center"/>
                </w:tcPr>
                <w:p>
                  <w:pPr>
                    <w:snapToGrid w:val="0"/>
                    <w:jc w:val="center"/>
                    <w:rPr>
                      <w:sz w:val="21"/>
                      <w:szCs w:val="21"/>
                    </w:rPr>
                  </w:pPr>
                  <w:r>
                    <w:rPr>
                      <w:sz w:val="21"/>
                      <w:szCs w:val="21"/>
                    </w:rPr>
                    <w:t>供电</w:t>
                  </w:r>
                </w:p>
              </w:tc>
              <w:tc>
                <w:tcPr>
                  <w:tcW w:w="3193" w:type="pct"/>
                  <w:vAlign w:val="center"/>
                </w:tcPr>
                <w:p>
                  <w:pPr>
                    <w:snapToGrid w:val="0"/>
                    <w:jc w:val="center"/>
                    <w:rPr>
                      <w:sz w:val="21"/>
                      <w:szCs w:val="21"/>
                    </w:rPr>
                  </w:pPr>
                  <w:r>
                    <w:rPr>
                      <w:rFonts w:hint="eastAsia"/>
                      <w:sz w:val="21"/>
                      <w:szCs w:val="21"/>
                    </w:rPr>
                    <w:t>依托新疆鑫汇众新型板业有限公司供电管网供给</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3"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rFonts w:hint="eastAsia"/>
                      <w:sz w:val="21"/>
                      <w:szCs w:val="21"/>
                    </w:rPr>
                    <w:t>供水</w:t>
                  </w:r>
                </w:p>
              </w:tc>
              <w:tc>
                <w:tcPr>
                  <w:tcW w:w="3193" w:type="pct"/>
                  <w:vAlign w:val="center"/>
                </w:tcPr>
                <w:p>
                  <w:pPr>
                    <w:snapToGrid w:val="0"/>
                    <w:jc w:val="center"/>
                    <w:rPr>
                      <w:sz w:val="21"/>
                      <w:szCs w:val="21"/>
                    </w:rPr>
                  </w:pPr>
                  <w:r>
                    <w:rPr>
                      <w:rFonts w:hint="eastAsia"/>
                      <w:sz w:val="21"/>
                      <w:szCs w:val="21"/>
                    </w:rPr>
                    <w:t>依托新疆鑫汇众新型板业有限公司供水管网供给</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413" w:type="pct"/>
                  <w:vMerge w:val="restart"/>
                  <w:vAlign w:val="center"/>
                </w:tcPr>
                <w:p>
                  <w:pPr>
                    <w:snapToGrid w:val="0"/>
                    <w:jc w:val="center"/>
                    <w:rPr>
                      <w:sz w:val="21"/>
                      <w:szCs w:val="21"/>
                    </w:rPr>
                  </w:pPr>
                  <w:r>
                    <w:rPr>
                      <w:sz w:val="21"/>
                      <w:szCs w:val="21"/>
                    </w:rPr>
                    <w:t>环保工程</w:t>
                  </w:r>
                </w:p>
              </w:tc>
              <w:tc>
                <w:tcPr>
                  <w:tcW w:w="560" w:type="pct"/>
                  <w:vMerge w:val="restart"/>
                  <w:vAlign w:val="center"/>
                </w:tcPr>
                <w:p>
                  <w:pPr>
                    <w:snapToGrid w:val="0"/>
                    <w:jc w:val="center"/>
                    <w:rPr>
                      <w:sz w:val="21"/>
                      <w:szCs w:val="21"/>
                    </w:rPr>
                  </w:pPr>
                  <w:r>
                    <w:rPr>
                      <w:sz w:val="21"/>
                      <w:szCs w:val="21"/>
                    </w:rPr>
                    <w:t>废气</w:t>
                  </w:r>
                </w:p>
              </w:tc>
              <w:tc>
                <w:tcPr>
                  <w:tcW w:w="3193" w:type="pct"/>
                  <w:vAlign w:val="center"/>
                </w:tcPr>
                <w:p>
                  <w:pPr>
                    <w:snapToGrid w:val="0"/>
                    <w:jc w:val="center"/>
                    <w:rPr>
                      <w:sz w:val="21"/>
                      <w:szCs w:val="21"/>
                    </w:rPr>
                  </w:pPr>
                  <w:r>
                    <w:rPr>
                      <w:rFonts w:hint="eastAsia"/>
                      <w:sz w:val="21"/>
                      <w:szCs w:val="21"/>
                    </w:rPr>
                    <w:t>干燥工序废气分别经2套脉冲袋式除尘器处理后由排气筒DA0</w:t>
                  </w:r>
                  <w:r>
                    <w:rPr>
                      <w:sz w:val="21"/>
                      <w:szCs w:val="21"/>
                    </w:rPr>
                    <w:t>02</w:t>
                  </w:r>
                  <w:r>
                    <w:rPr>
                      <w:rFonts w:hint="eastAsia"/>
                      <w:sz w:val="21"/>
                      <w:szCs w:val="21"/>
                    </w:rPr>
                    <w:t>排放；</w:t>
                  </w:r>
                </w:p>
              </w:tc>
              <w:tc>
                <w:tcPr>
                  <w:tcW w:w="834" w:type="pct"/>
                  <w:vAlign w:val="center"/>
                </w:tcPr>
                <w:p>
                  <w:pPr>
                    <w:snapToGrid w:val="0"/>
                    <w:jc w:val="center"/>
                    <w:rPr>
                      <w:sz w:val="21"/>
                      <w:szCs w:val="21"/>
                    </w:rPr>
                  </w:pPr>
                  <w:r>
                    <w:rPr>
                      <w:rFonts w:hint="eastAsia"/>
                      <w:sz w:val="21"/>
                      <w:szCs w:val="21"/>
                    </w:rPr>
                    <w:t>新增1套除尘系统</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726" w:hRule="atLeast"/>
                <w:jc w:val="center"/>
              </w:trPr>
              <w:tc>
                <w:tcPr>
                  <w:tcW w:w="413" w:type="pct"/>
                  <w:vMerge w:val="continue"/>
                  <w:vAlign w:val="center"/>
                </w:tcPr>
                <w:p>
                  <w:pPr>
                    <w:snapToGrid w:val="0"/>
                    <w:jc w:val="center"/>
                    <w:rPr>
                      <w:sz w:val="21"/>
                      <w:szCs w:val="21"/>
                    </w:rPr>
                  </w:pPr>
                </w:p>
              </w:tc>
              <w:tc>
                <w:tcPr>
                  <w:tcW w:w="560" w:type="pct"/>
                  <w:vMerge w:val="continue"/>
                  <w:vAlign w:val="center"/>
                </w:tcPr>
                <w:p>
                  <w:pPr>
                    <w:snapToGrid w:val="0"/>
                    <w:jc w:val="center"/>
                    <w:rPr>
                      <w:sz w:val="21"/>
                      <w:szCs w:val="21"/>
                    </w:rPr>
                  </w:pPr>
                </w:p>
              </w:tc>
              <w:tc>
                <w:tcPr>
                  <w:tcW w:w="3193" w:type="pct"/>
                  <w:vAlign w:val="center"/>
                </w:tcPr>
                <w:p>
                  <w:pPr>
                    <w:snapToGrid w:val="0"/>
                    <w:jc w:val="center"/>
                    <w:rPr>
                      <w:sz w:val="21"/>
                      <w:szCs w:val="21"/>
                    </w:rPr>
                  </w:pPr>
                  <w:r>
                    <w:rPr>
                      <w:rFonts w:hint="eastAsia"/>
                      <w:sz w:val="21"/>
                      <w:szCs w:val="21"/>
                    </w:rPr>
                    <w:t>刨片筛分工序产生颗粒物经2套集气罩</w:t>
                  </w:r>
                  <w:r>
                    <w:rPr>
                      <w:sz w:val="21"/>
                      <w:szCs w:val="21"/>
                    </w:rPr>
                    <w:t>+1</w:t>
                  </w:r>
                  <w:r>
                    <w:rPr>
                      <w:rFonts w:hint="eastAsia"/>
                      <w:sz w:val="21"/>
                      <w:szCs w:val="21"/>
                    </w:rPr>
                    <w:t>套“旋风除尘+脉冲袋式除尘器”处理；锯边工序颗粒物经1套集气罩</w:t>
                  </w:r>
                  <w:r>
                    <w:rPr>
                      <w:sz w:val="21"/>
                      <w:szCs w:val="21"/>
                    </w:rPr>
                    <w:t>+1</w:t>
                  </w:r>
                  <w:r>
                    <w:rPr>
                      <w:rFonts w:hint="eastAsia"/>
                      <w:sz w:val="21"/>
                      <w:szCs w:val="21"/>
                    </w:rPr>
                    <w:t>套“旋风除尘+脉冲袋式除尘器”处理；</w:t>
                  </w:r>
                </w:p>
                <w:p>
                  <w:pPr>
                    <w:snapToGrid w:val="0"/>
                    <w:jc w:val="center"/>
                    <w:rPr>
                      <w:sz w:val="21"/>
                      <w:szCs w:val="21"/>
                    </w:rPr>
                  </w:pPr>
                  <w:r>
                    <w:rPr>
                      <w:rFonts w:hint="eastAsia"/>
                      <w:sz w:val="21"/>
                      <w:szCs w:val="21"/>
                    </w:rPr>
                    <w:t>截边工序颗粒物</w:t>
                  </w:r>
                  <w:r>
                    <w:rPr>
                      <w:sz w:val="21"/>
                      <w:szCs w:val="21"/>
                    </w:rPr>
                    <w:t>经</w:t>
                  </w:r>
                  <w:r>
                    <w:rPr>
                      <w:rFonts w:hint="eastAsia"/>
                      <w:sz w:val="21"/>
                      <w:szCs w:val="21"/>
                    </w:rPr>
                    <w:t>1</w:t>
                  </w:r>
                  <w:r>
                    <w:rPr>
                      <w:sz w:val="21"/>
                      <w:szCs w:val="21"/>
                    </w:rPr>
                    <w:t>套</w:t>
                  </w:r>
                  <w:r>
                    <w:rPr>
                      <w:rFonts w:hint="eastAsia"/>
                      <w:sz w:val="21"/>
                      <w:szCs w:val="21"/>
                    </w:rPr>
                    <w:t>集气罩</w:t>
                  </w:r>
                  <w:r>
                    <w:rPr>
                      <w:sz w:val="21"/>
                      <w:szCs w:val="21"/>
                    </w:rPr>
                    <w:t>+1套</w:t>
                  </w:r>
                  <w:r>
                    <w:rPr>
                      <w:rFonts w:hint="eastAsia"/>
                      <w:sz w:val="21"/>
                      <w:szCs w:val="21"/>
                    </w:rPr>
                    <w:t>“旋风除尘+脉冲袋式除尘器”处理；</w:t>
                  </w:r>
                </w:p>
                <w:p>
                  <w:pPr>
                    <w:snapToGrid w:val="0"/>
                    <w:jc w:val="center"/>
                    <w:rPr>
                      <w:sz w:val="21"/>
                      <w:szCs w:val="21"/>
                    </w:rPr>
                  </w:pPr>
                  <w:r>
                    <w:rPr>
                      <w:rFonts w:hint="eastAsia"/>
                      <w:sz w:val="21"/>
                      <w:szCs w:val="21"/>
                    </w:rPr>
                    <w:t>上述废气经处理后合并引至现有排气筒DA</w:t>
                  </w:r>
                  <w:r>
                    <w:rPr>
                      <w:sz w:val="21"/>
                      <w:szCs w:val="21"/>
                    </w:rPr>
                    <w:t>004</w:t>
                  </w:r>
                  <w:r>
                    <w:rPr>
                      <w:rFonts w:hint="eastAsia"/>
                      <w:sz w:val="21"/>
                      <w:szCs w:val="21"/>
                    </w:rPr>
                    <w:t>排放；</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413" w:type="pct"/>
                  <w:vMerge w:val="continue"/>
                  <w:vAlign w:val="center"/>
                </w:tcPr>
                <w:p>
                  <w:pPr>
                    <w:snapToGrid w:val="0"/>
                    <w:jc w:val="center"/>
                    <w:rPr>
                      <w:sz w:val="21"/>
                      <w:szCs w:val="21"/>
                    </w:rPr>
                  </w:pPr>
                </w:p>
              </w:tc>
              <w:tc>
                <w:tcPr>
                  <w:tcW w:w="560" w:type="pct"/>
                  <w:vMerge w:val="continue"/>
                  <w:vAlign w:val="center"/>
                </w:tcPr>
                <w:p>
                  <w:pPr>
                    <w:snapToGrid w:val="0"/>
                    <w:jc w:val="center"/>
                    <w:rPr>
                      <w:sz w:val="21"/>
                      <w:szCs w:val="21"/>
                    </w:rPr>
                  </w:pPr>
                </w:p>
              </w:tc>
              <w:tc>
                <w:tcPr>
                  <w:tcW w:w="3193" w:type="pct"/>
                  <w:vAlign w:val="center"/>
                </w:tcPr>
                <w:p>
                  <w:pPr>
                    <w:snapToGrid w:val="0"/>
                    <w:jc w:val="center"/>
                    <w:rPr>
                      <w:sz w:val="21"/>
                      <w:szCs w:val="21"/>
                    </w:rPr>
                  </w:pPr>
                  <w:r>
                    <w:rPr>
                      <w:rFonts w:hint="eastAsia"/>
                      <w:sz w:val="21"/>
                      <w:szCs w:val="21"/>
                    </w:rPr>
                    <w:t>施胶、铺装、预压、热压工序产生的VOCs和甲醛，经4套集气罩+</w:t>
                  </w:r>
                  <w:r>
                    <w:rPr>
                      <w:sz w:val="21"/>
                      <w:szCs w:val="21"/>
                    </w:rPr>
                    <w:t>1</w:t>
                  </w:r>
                  <w:r>
                    <w:rPr>
                      <w:rFonts w:hint="eastAsia"/>
                      <w:sz w:val="21"/>
                      <w:szCs w:val="21"/>
                    </w:rPr>
                    <w:t>套“RTO蓄热式焚烧炉”处理后经现有排气筒DA</w:t>
                  </w:r>
                  <w:r>
                    <w:rPr>
                      <w:sz w:val="21"/>
                      <w:szCs w:val="21"/>
                    </w:rPr>
                    <w:t>005</w:t>
                  </w:r>
                  <w:r>
                    <w:rPr>
                      <w:rFonts w:hint="eastAsia"/>
                      <w:sz w:val="21"/>
                      <w:szCs w:val="21"/>
                    </w:rPr>
                    <w:t>排放；</w:t>
                  </w:r>
                </w:p>
              </w:tc>
              <w:tc>
                <w:tcPr>
                  <w:tcW w:w="834" w:type="pct"/>
                  <w:vAlign w:val="center"/>
                </w:tcPr>
                <w:p>
                  <w:pPr>
                    <w:snapToGrid w:val="0"/>
                    <w:jc w:val="center"/>
                    <w:rPr>
                      <w:sz w:val="21"/>
                      <w:szCs w:val="21"/>
                    </w:rPr>
                  </w:pPr>
                  <w:r>
                    <w:rPr>
                      <w:rFonts w:hint="eastAsia"/>
                      <w:sz w:val="21"/>
                      <w:szCs w:val="21"/>
                    </w:rPr>
                    <w:t>依托现有</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33" w:hRule="atLeast"/>
                <w:jc w:val="center"/>
              </w:trPr>
              <w:tc>
                <w:tcPr>
                  <w:tcW w:w="413" w:type="pct"/>
                  <w:vMerge w:val="continue"/>
                  <w:vAlign w:val="center"/>
                </w:tcPr>
                <w:p>
                  <w:pPr>
                    <w:snapToGrid w:val="0"/>
                    <w:jc w:val="center"/>
                    <w:rPr>
                      <w:sz w:val="21"/>
                      <w:szCs w:val="21"/>
                    </w:rPr>
                  </w:pPr>
                </w:p>
              </w:tc>
              <w:tc>
                <w:tcPr>
                  <w:tcW w:w="560" w:type="pct"/>
                  <w:vAlign w:val="center"/>
                </w:tcPr>
                <w:p>
                  <w:pPr>
                    <w:snapToGrid w:val="0"/>
                    <w:jc w:val="center"/>
                    <w:rPr>
                      <w:sz w:val="21"/>
                      <w:szCs w:val="21"/>
                    </w:rPr>
                  </w:pPr>
                  <w:r>
                    <w:rPr>
                      <w:sz w:val="21"/>
                      <w:szCs w:val="21"/>
                    </w:rPr>
                    <w:t>噪声治理</w:t>
                  </w:r>
                </w:p>
              </w:tc>
              <w:tc>
                <w:tcPr>
                  <w:tcW w:w="3193" w:type="pct"/>
                  <w:vAlign w:val="center"/>
                </w:tcPr>
                <w:p>
                  <w:pPr>
                    <w:snapToGrid w:val="0"/>
                    <w:jc w:val="center"/>
                    <w:rPr>
                      <w:sz w:val="21"/>
                      <w:szCs w:val="21"/>
                    </w:rPr>
                  </w:pPr>
                  <w:r>
                    <w:rPr>
                      <w:rFonts w:hint="eastAsia"/>
                      <w:sz w:val="21"/>
                      <w:szCs w:val="21"/>
                    </w:rPr>
                    <w:t>选用</w:t>
                  </w:r>
                  <w:r>
                    <w:rPr>
                      <w:sz w:val="21"/>
                      <w:szCs w:val="21"/>
                    </w:rPr>
                    <w:t>低噪声设备</w:t>
                  </w:r>
                  <w:r>
                    <w:rPr>
                      <w:rFonts w:hint="eastAsia"/>
                      <w:sz w:val="21"/>
                      <w:szCs w:val="21"/>
                    </w:rPr>
                    <w:t>，</w:t>
                  </w:r>
                  <w:r>
                    <w:rPr>
                      <w:sz w:val="21"/>
                      <w:szCs w:val="21"/>
                    </w:rPr>
                    <w:t>采取墙体隔声</w:t>
                  </w:r>
                  <w:r>
                    <w:rPr>
                      <w:rFonts w:hint="eastAsia"/>
                      <w:sz w:val="21"/>
                      <w:szCs w:val="21"/>
                    </w:rPr>
                    <w:t>、</w:t>
                  </w:r>
                  <w:r>
                    <w:rPr>
                      <w:sz w:val="21"/>
                      <w:szCs w:val="21"/>
                    </w:rPr>
                    <w:t>基础减振装置等措施</w:t>
                  </w:r>
                </w:p>
              </w:tc>
              <w:tc>
                <w:tcPr>
                  <w:tcW w:w="834" w:type="pct"/>
                  <w:vAlign w:val="center"/>
                </w:tcPr>
                <w:p>
                  <w:pPr>
                    <w:snapToGrid w:val="0"/>
                    <w:jc w:val="center"/>
                    <w:rPr>
                      <w:sz w:val="21"/>
                      <w:szCs w:val="21"/>
                    </w:rPr>
                  </w:pPr>
                  <w:r>
                    <w:rPr>
                      <w:rFonts w:hint="eastAsia"/>
                      <w:sz w:val="21"/>
                      <w:szCs w:val="21"/>
                    </w:rPr>
                    <w:t>新建</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413" w:type="pct"/>
                  <w:vMerge w:val="continue"/>
                  <w:vAlign w:val="center"/>
                </w:tcPr>
                <w:p>
                  <w:pPr>
                    <w:snapToGrid w:val="0"/>
                    <w:jc w:val="center"/>
                    <w:rPr>
                      <w:sz w:val="21"/>
                      <w:szCs w:val="21"/>
                    </w:rPr>
                  </w:pPr>
                </w:p>
              </w:tc>
              <w:tc>
                <w:tcPr>
                  <w:tcW w:w="560" w:type="pct"/>
                  <w:vMerge w:val="restart"/>
                  <w:vAlign w:val="center"/>
                </w:tcPr>
                <w:p>
                  <w:pPr>
                    <w:snapToGrid w:val="0"/>
                    <w:jc w:val="center"/>
                    <w:rPr>
                      <w:sz w:val="21"/>
                      <w:szCs w:val="21"/>
                    </w:rPr>
                  </w:pPr>
                  <w:r>
                    <w:rPr>
                      <w:rFonts w:hint="eastAsia"/>
                      <w:sz w:val="21"/>
                      <w:szCs w:val="21"/>
                    </w:rPr>
                    <w:t>固废治理</w:t>
                  </w:r>
                </w:p>
              </w:tc>
              <w:tc>
                <w:tcPr>
                  <w:tcW w:w="3193" w:type="pct"/>
                  <w:vAlign w:val="center"/>
                </w:tcPr>
                <w:p>
                  <w:pPr>
                    <w:snapToGrid w:val="0"/>
                    <w:jc w:val="center"/>
                    <w:rPr>
                      <w:sz w:val="21"/>
                      <w:szCs w:val="21"/>
                    </w:rPr>
                  </w:pPr>
                  <w:r>
                    <w:rPr>
                      <w:rFonts w:hint="eastAsia"/>
                      <w:sz w:val="21"/>
                      <w:szCs w:val="21"/>
                    </w:rPr>
                    <w:t>边角料收集后回用于生产</w:t>
                  </w:r>
                </w:p>
              </w:tc>
              <w:tc>
                <w:tcPr>
                  <w:tcW w:w="834" w:type="pct"/>
                  <w:vMerge w:val="restart"/>
                  <w:vAlign w:val="center"/>
                </w:tcPr>
                <w:p>
                  <w:pPr>
                    <w:snapToGrid w:val="0"/>
                    <w:jc w:val="center"/>
                    <w:rPr>
                      <w:sz w:val="21"/>
                      <w:szCs w:val="21"/>
                    </w:rPr>
                  </w:pPr>
                  <w:r>
                    <w:rPr>
                      <w:rFonts w:hint="eastAsia"/>
                      <w:color w:val="FF0000"/>
                      <w:sz w:val="21"/>
                      <w:szCs w:val="21"/>
                    </w:rPr>
                    <w:t>依托现有危废暂存间（35.7m</w:t>
                  </w:r>
                  <w:r>
                    <w:rPr>
                      <w:rFonts w:hint="eastAsia"/>
                      <w:color w:val="FF0000"/>
                      <w:sz w:val="21"/>
                      <w:szCs w:val="21"/>
                      <w:vertAlign w:val="superscript"/>
                    </w:rPr>
                    <w:t>2</w:t>
                  </w:r>
                  <w:r>
                    <w:rPr>
                      <w:rFonts w:hint="eastAsia"/>
                      <w:color w:val="FF0000"/>
                      <w:sz w:val="21"/>
                      <w:szCs w:val="21"/>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413" w:type="pct"/>
                  <w:vMerge w:val="continue"/>
                  <w:vAlign w:val="center"/>
                </w:tcPr>
                <w:p>
                  <w:pPr>
                    <w:snapToGrid w:val="0"/>
                    <w:jc w:val="center"/>
                    <w:rPr>
                      <w:sz w:val="21"/>
                      <w:szCs w:val="21"/>
                    </w:rPr>
                  </w:pPr>
                </w:p>
              </w:tc>
              <w:tc>
                <w:tcPr>
                  <w:tcW w:w="560" w:type="pct"/>
                  <w:vMerge w:val="continue"/>
                  <w:vAlign w:val="center"/>
                </w:tcPr>
                <w:p>
                  <w:pPr>
                    <w:snapToGrid w:val="0"/>
                    <w:jc w:val="center"/>
                    <w:rPr>
                      <w:sz w:val="21"/>
                      <w:szCs w:val="21"/>
                    </w:rPr>
                  </w:pPr>
                </w:p>
              </w:tc>
              <w:tc>
                <w:tcPr>
                  <w:tcW w:w="3193" w:type="pct"/>
                  <w:vAlign w:val="center"/>
                </w:tcPr>
                <w:p>
                  <w:pPr>
                    <w:snapToGrid w:val="0"/>
                    <w:jc w:val="center"/>
                    <w:rPr>
                      <w:sz w:val="21"/>
                      <w:szCs w:val="21"/>
                    </w:rPr>
                  </w:pPr>
                  <w:r>
                    <w:rPr>
                      <w:rFonts w:hint="eastAsia"/>
                      <w:sz w:val="21"/>
                      <w:szCs w:val="21"/>
                    </w:rPr>
                    <w:t>不合格品收集后回用于生产</w:t>
                  </w:r>
                </w:p>
              </w:tc>
              <w:tc>
                <w:tcPr>
                  <w:tcW w:w="834" w:type="pct"/>
                  <w:vMerge w:val="continue"/>
                  <w:vAlign w:val="center"/>
                </w:tcPr>
                <w:p>
                  <w:pPr>
                    <w:snapToGrid w:val="0"/>
                    <w:jc w:val="center"/>
                    <w:rPr>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61" w:hRule="atLeast"/>
                <w:jc w:val="center"/>
              </w:trPr>
              <w:tc>
                <w:tcPr>
                  <w:tcW w:w="413" w:type="pct"/>
                  <w:vMerge w:val="continue"/>
                  <w:vAlign w:val="center"/>
                </w:tcPr>
                <w:p>
                  <w:pPr>
                    <w:snapToGrid w:val="0"/>
                    <w:jc w:val="center"/>
                    <w:rPr>
                      <w:sz w:val="21"/>
                      <w:szCs w:val="21"/>
                    </w:rPr>
                  </w:pPr>
                </w:p>
              </w:tc>
              <w:tc>
                <w:tcPr>
                  <w:tcW w:w="560" w:type="pct"/>
                  <w:vMerge w:val="continue"/>
                  <w:vAlign w:val="center"/>
                </w:tcPr>
                <w:p>
                  <w:pPr>
                    <w:snapToGrid w:val="0"/>
                    <w:jc w:val="center"/>
                    <w:rPr>
                      <w:sz w:val="21"/>
                      <w:szCs w:val="21"/>
                    </w:rPr>
                  </w:pPr>
                </w:p>
              </w:tc>
              <w:tc>
                <w:tcPr>
                  <w:tcW w:w="3193" w:type="pct"/>
                  <w:vAlign w:val="center"/>
                </w:tcPr>
                <w:p>
                  <w:pPr>
                    <w:snapToGrid w:val="0"/>
                    <w:jc w:val="center"/>
                    <w:rPr>
                      <w:sz w:val="21"/>
                      <w:szCs w:val="21"/>
                    </w:rPr>
                  </w:pPr>
                  <w:r>
                    <w:rPr>
                      <w:rFonts w:hint="eastAsia"/>
                      <w:sz w:val="21"/>
                      <w:szCs w:val="21"/>
                    </w:rPr>
                    <w:t>粉尘收集后回用于生产</w:t>
                  </w:r>
                </w:p>
              </w:tc>
              <w:tc>
                <w:tcPr>
                  <w:tcW w:w="834" w:type="pct"/>
                  <w:vMerge w:val="continue"/>
                  <w:vAlign w:val="center"/>
                </w:tcPr>
                <w:p>
                  <w:pPr>
                    <w:snapToGrid w:val="0"/>
                    <w:jc w:val="center"/>
                    <w:rPr>
                      <w:sz w:val="21"/>
                      <w:szCs w:val="21"/>
                    </w:rPr>
                  </w:pP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1" w:hRule="atLeast"/>
                <w:jc w:val="center"/>
              </w:trPr>
              <w:tc>
                <w:tcPr>
                  <w:tcW w:w="413" w:type="pct"/>
                  <w:vMerge w:val="continue"/>
                  <w:vAlign w:val="center"/>
                </w:tcPr>
                <w:p>
                  <w:pPr>
                    <w:snapToGrid w:val="0"/>
                    <w:jc w:val="center"/>
                    <w:rPr>
                      <w:sz w:val="21"/>
                      <w:szCs w:val="21"/>
                    </w:rPr>
                  </w:pPr>
                </w:p>
              </w:tc>
              <w:tc>
                <w:tcPr>
                  <w:tcW w:w="560" w:type="pct"/>
                  <w:vMerge w:val="continue"/>
                  <w:vAlign w:val="center"/>
                </w:tcPr>
                <w:p>
                  <w:pPr>
                    <w:snapToGrid w:val="0"/>
                    <w:jc w:val="center"/>
                    <w:rPr>
                      <w:sz w:val="21"/>
                      <w:szCs w:val="21"/>
                    </w:rPr>
                  </w:pPr>
                </w:p>
              </w:tc>
              <w:tc>
                <w:tcPr>
                  <w:tcW w:w="3193" w:type="pct"/>
                  <w:vAlign w:val="center"/>
                </w:tcPr>
                <w:p>
                  <w:pPr>
                    <w:snapToGrid w:val="0"/>
                    <w:jc w:val="center"/>
                    <w:rPr>
                      <w:sz w:val="21"/>
                      <w:szCs w:val="21"/>
                    </w:rPr>
                  </w:pPr>
                  <w:r>
                    <w:rPr>
                      <w:rFonts w:hint="eastAsia"/>
                      <w:sz w:val="21"/>
                      <w:szCs w:val="21"/>
                    </w:rPr>
                    <w:t>废导热油收集后暂存于危废间，定期委托有资质单位处理</w:t>
                  </w:r>
                </w:p>
              </w:tc>
              <w:tc>
                <w:tcPr>
                  <w:tcW w:w="834" w:type="pct"/>
                  <w:vMerge w:val="continue"/>
                  <w:vAlign w:val="center"/>
                </w:tcPr>
                <w:p>
                  <w:pPr>
                    <w:snapToGrid w:val="0"/>
                    <w:jc w:val="center"/>
                    <w:rPr>
                      <w:sz w:val="21"/>
                      <w:szCs w:val="21"/>
                    </w:rPr>
                  </w:pPr>
                </w:p>
              </w:tc>
            </w:tr>
          </w:tbl>
          <w:p>
            <w:pPr>
              <w:spacing w:before="120" w:beforeLines="50" w:line="360" w:lineRule="auto"/>
              <w:ind w:firstLine="480" w:firstLineChars="200"/>
              <w:rPr>
                <w:lang w:val="en-GB"/>
              </w:rPr>
            </w:pPr>
            <w:r>
              <w:rPr>
                <w:lang w:val="en-GB"/>
              </w:rPr>
              <w:t>拟建项目主要经济技术指标见表</w:t>
            </w:r>
            <w:r>
              <w:rPr>
                <w:rFonts w:hint="eastAsia"/>
              </w:rPr>
              <w:t>2-</w:t>
            </w:r>
            <w:r>
              <w:t>3</w:t>
            </w:r>
            <w:r>
              <w:rPr>
                <w:lang w:val="en-GB"/>
              </w:rPr>
              <w:t>。</w:t>
            </w:r>
          </w:p>
          <w:p>
            <w:pPr>
              <w:pStyle w:val="100"/>
            </w:pPr>
            <w:r>
              <w:t>表</w:t>
            </w:r>
            <w:r>
              <w:rPr>
                <w:rFonts w:hint="eastAsia"/>
              </w:rPr>
              <w:t>2-</w:t>
            </w:r>
            <w:r>
              <w:t>3 拟建项目主要经济技术指标一览表</w:t>
            </w:r>
          </w:p>
          <w:tbl>
            <w:tblPr>
              <w:tblStyle w:val="50"/>
              <w:tblW w:w="729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2"/>
              <w:gridCol w:w="1727"/>
              <w:gridCol w:w="1418"/>
              <w:gridCol w:w="29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12" w:type="dxa"/>
                  <w:vAlign w:val="center"/>
                </w:tcPr>
                <w:p>
                  <w:pPr>
                    <w:pStyle w:val="215"/>
                    <w:rPr>
                      <w:b/>
                      <w:bCs w:val="0"/>
                    </w:rPr>
                  </w:pPr>
                  <w:r>
                    <w:rPr>
                      <w:b/>
                      <w:bCs w:val="0"/>
                    </w:rPr>
                    <w:t>序号</w:t>
                  </w:r>
                </w:p>
              </w:tc>
              <w:tc>
                <w:tcPr>
                  <w:tcW w:w="1727" w:type="dxa"/>
                  <w:vAlign w:val="center"/>
                </w:tcPr>
                <w:p>
                  <w:pPr>
                    <w:pStyle w:val="215"/>
                    <w:rPr>
                      <w:b/>
                      <w:bCs w:val="0"/>
                    </w:rPr>
                  </w:pPr>
                  <w:r>
                    <w:rPr>
                      <w:rFonts w:hint="eastAsia"/>
                      <w:b/>
                      <w:bCs w:val="0"/>
                    </w:rPr>
                    <w:t>名称</w:t>
                  </w:r>
                </w:p>
              </w:tc>
              <w:tc>
                <w:tcPr>
                  <w:tcW w:w="1418" w:type="dxa"/>
                  <w:vAlign w:val="center"/>
                </w:tcPr>
                <w:p>
                  <w:pPr>
                    <w:pStyle w:val="215"/>
                    <w:rPr>
                      <w:b/>
                      <w:bCs w:val="0"/>
                    </w:rPr>
                  </w:pPr>
                  <w:r>
                    <w:rPr>
                      <w:b/>
                      <w:bCs w:val="0"/>
                    </w:rPr>
                    <w:t>单位</w:t>
                  </w:r>
                </w:p>
              </w:tc>
              <w:tc>
                <w:tcPr>
                  <w:tcW w:w="2935" w:type="dxa"/>
                  <w:vAlign w:val="center"/>
                </w:tcPr>
                <w:p>
                  <w:pPr>
                    <w:pStyle w:val="215"/>
                    <w:rPr>
                      <w:b/>
                      <w:bCs w:val="0"/>
                    </w:rPr>
                  </w:pPr>
                  <w:r>
                    <w:rPr>
                      <w:rFonts w:hint="eastAsia"/>
                      <w:b/>
                      <w:bCs w:val="0"/>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12" w:type="dxa"/>
                  <w:vAlign w:val="center"/>
                </w:tcPr>
                <w:p>
                  <w:pPr>
                    <w:pStyle w:val="215"/>
                  </w:pPr>
                  <w:r>
                    <w:t>1</w:t>
                  </w:r>
                </w:p>
              </w:tc>
              <w:tc>
                <w:tcPr>
                  <w:tcW w:w="1727" w:type="dxa"/>
                  <w:vAlign w:val="center"/>
                </w:tcPr>
                <w:p>
                  <w:pPr>
                    <w:pStyle w:val="215"/>
                  </w:pPr>
                  <w:r>
                    <w:t>总占地面积</w:t>
                  </w:r>
                </w:p>
              </w:tc>
              <w:tc>
                <w:tcPr>
                  <w:tcW w:w="1418" w:type="dxa"/>
                  <w:vAlign w:val="center"/>
                </w:tcPr>
                <w:p>
                  <w:pPr>
                    <w:pStyle w:val="215"/>
                  </w:pPr>
                  <w:r>
                    <w:t>m</w:t>
                  </w:r>
                  <w:r>
                    <w:rPr>
                      <w:vertAlign w:val="superscript"/>
                    </w:rPr>
                    <w:t>2</w:t>
                  </w:r>
                </w:p>
              </w:tc>
              <w:tc>
                <w:tcPr>
                  <w:tcW w:w="2935" w:type="dxa"/>
                  <w:vAlign w:val="center"/>
                </w:tcPr>
                <w:p>
                  <w:pPr>
                    <w:pStyle w:val="215"/>
                  </w:pPr>
                  <w:r>
                    <w:t>46690</w:t>
                  </w:r>
                  <w:r>
                    <w:rPr>
                      <w:rFonts w:hint="eastAsia"/>
                    </w:rPr>
                    <w:t>（不新增占地面积）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12" w:type="dxa"/>
                  <w:vAlign w:val="center"/>
                </w:tcPr>
                <w:p>
                  <w:pPr>
                    <w:pStyle w:val="215"/>
                  </w:pPr>
                  <w:r>
                    <w:t>2</w:t>
                  </w:r>
                </w:p>
              </w:tc>
              <w:tc>
                <w:tcPr>
                  <w:tcW w:w="1727" w:type="dxa"/>
                  <w:vAlign w:val="center"/>
                </w:tcPr>
                <w:p>
                  <w:pPr>
                    <w:pStyle w:val="215"/>
                  </w:pPr>
                  <w:r>
                    <w:t>总建筑面积</w:t>
                  </w:r>
                </w:p>
              </w:tc>
              <w:tc>
                <w:tcPr>
                  <w:tcW w:w="1418" w:type="dxa"/>
                  <w:vAlign w:val="center"/>
                </w:tcPr>
                <w:p>
                  <w:pPr>
                    <w:pStyle w:val="215"/>
                  </w:pPr>
                  <w:r>
                    <w:t>m</w:t>
                  </w:r>
                  <w:r>
                    <w:rPr>
                      <w:vertAlign w:val="superscript"/>
                    </w:rPr>
                    <w:t>2</w:t>
                  </w:r>
                </w:p>
              </w:tc>
              <w:tc>
                <w:tcPr>
                  <w:tcW w:w="2935" w:type="dxa"/>
                  <w:vAlign w:val="center"/>
                </w:tcPr>
                <w:p>
                  <w:pPr>
                    <w:pStyle w:val="215"/>
                  </w:pPr>
                  <w:r>
                    <w:t>15071</w:t>
                  </w:r>
                  <w:r>
                    <w:rPr>
                      <w:rFonts w:hint="eastAsia"/>
                    </w:rPr>
                    <w:t>（不新增建筑面积）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12" w:type="dxa"/>
                  <w:vAlign w:val="center"/>
                </w:tcPr>
                <w:p>
                  <w:pPr>
                    <w:pStyle w:val="215"/>
                  </w:pPr>
                  <w:r>
                    <w:t>3</w:t>
                  </w:r>
                </w:p>
              </w:tc>
              <w:tc>
                <w:tcPr>
                  <w:tcW w:w="1727" w:type="dxa"/>
                  <w:vAlign w:val="center"/>
                </w:tcPr>
                <w:p>
                  <w:pPr>
                    <w:pStyle w:val="215"/>
                  </w:pPr>
                  <w:r>
                    <w:t>年工作天数</w:t>
                  </w:r>
                </w:p>
              </w:tc>
              <w:tc>
                <w:tcPr>
                  <w:tcW w:w="1418" w:type="dxa"/>
                  <w:vAlign w:val="center"/>
                </w:tcPr>
                <w:p>
                  <w:pPr>
                    <w:pStyle w:val="215"/>
                  </w:pPr>
                  <w:r>
                    <w:t>d</w:t>
                  </w:r>
                </w:p>
              </w:tc>
              <w:tc>
                <w:tcPr>
                  <w:tcW w:w="2935" w:type="dxa"/>
                  <w:vAlign w:val="center"/>
                </w:tcPr>
                <w:p>
                  <w:pPr>
                    <w:pStyle w:val="215"/>
                  </w:pPr>
                  <w: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12" w:type="dxa"/>
                  <w:vAlign w:val="center"/>
                </w:tcPr>
                <w:p>
                  <w:pPr>
                    <w:pStyle w:val="215"/>
                  </w:pPr>
                  <w:r>
                    <w:t>4</w:t>
                  </w:r>
                </w:p>
              </w:tc>
              <w:tc>
                <w:tcPr>
                  <w:tcW w:w="1727" w:type="dxa"/>
                  <w:vAlign w:val="center"/>
                </w:tcPr>
                <w:p>
                  <w:pPr>
                    <w:pStyle w:val="215"/>
                  </w:pPr>
                  <w:r>
                    <w:t>年生产小时数</w:t>
                  </w:r>
                </w:p>
              </w:tc>
              <w:tc>
                <w:tcPr>
                  <w:tcW w:w="1418" w:type="dxa"/>
                  <w:vAlign w:val="center"/>
                </w:tcPr>
                <w:p>
                  <w:pPr>
                    <w:pStyle w:val="215"/>
                  </w:pPr>
                  <w:r>
                    <w:t>h</w:t>
                  </w:r>
                </w:p>
              </w:tc>
              <w:tc>
                <w:tcPr>
                  <w:tcW w:w="2935" w:type="dxa"/>
                  <w:vAlign w:val="center"/>
                </w:tcPr>
                <w:p>
                  <w:pPr>
                    <w:pStyle w:val="215"/>
                  </w:pPr>
                  <w:r>
                    <w:t>7200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212" w:type="dxa"/>
                  <w:vAlign w:val="center"/>
                </w:tcPr>
                <w:p>
                  <w:pPr>
                    <w:pStyle w:val="215"/>
                  </w:pPr>
                  <w:r>
                    <w:t>5</w:t>
                  </w:r>
                </w:p>
              </w:tc>
              <w:tc>
                <w:tcPr>
                  <w:tcW w:w="1727" w:type="dxa"/>
                  <w:vAlign w:val="center"/>
                </w:tcPr>
                <w:p>
                  <w:pPr>
                    <w:pStyle w:val="215"/>
                  </w:pPr>
                  <w:r>
                    <w:rPr>
                      <w:rFonts w:hint="eastAsia"/>
                    </w:rPr>
                    <w:t>新增</w:t>
                  </w:r>
                  <w:r>
                    <w:t>员工人数</w:t>
                  </w:r>
                </w:p>
              </w:tc>
              <w:tc>
                <w:tcPr>
                  <w:tcW w:w="1418" w:type="dxa"/>
                  <w:vAlign w:val="center"/>
                </w:tcPr>
                <w:p>
                  <w:pPr>
                    <w:pStyle w:val="215"/>
                  </w:pPr>
                  <w:r>
                    <w:t>人</w:t>
                  </w:r>
                </w:p>
              </w:tc>
              <w:tc>
                <w:tcPr>
                  <w:tcW w:w="2935" w:type="dxa"/>
                  <w:vAlign w:val="center"/>
                </w:tcPr>
                <w:p>
                  <w:pPr>
                    <w:pStyle w:val="215"/>
                  </w:pPr>
                  <w:r>
                    <w:t>0</w:t>
                  </w:r>
                </w:p>
              </w:tc>
            </w:tr>
          </w:tbl>
          <w:p>
            <w:pPr>
              <w:spacing w:before="120" w:beforeLines="50" w:line="360" w:lineRule="auto"/>
              <w:ind w:firstLine="482" w:firstLineChars="200"/>
              <w:rPr>
                <w:b/>
                <w:bCs/>
                <w:lang w:val="en-GB"/>
              </w:rPr>
            </w:pPr>
            <w:r>
              <w:rPr>
                <w:b/>
                <w:bCs/>
                <w:lang w:val="en-GB"/>
              </w:rPr>
              <w:t>5、主要设备</w:t>
            </w:r>
          </w:p>
          <w:p>
            <w:pPr>
              <w:adjustRightInd w:val="0"/>
              <w:snapToGrid w:val="0"/>
              <w:spacing w:line="360" w:lineRule="auto"/>
              <w:ind w:firstLine="480" w:firstLineChars="200"/>
              <w:rPr>
                <w:lang w:val="en-GB"/>
              </w:rPr>
            </w:pPr>
            <w:r>
              <w:rPr>
                <w:lang w:val="en-GB"/>
              </w:rPr>
              <w:t>拟建项目主要设备情况见表</w:t>
            </w:r>
            <w:r>
              <w:rPr>
                <w:rFonts w:hint="eastAsia"/>
              </w:rPr>
              <w:t>2-</w:t>
            </w:r>
            <w:r>
              <w:t>4</w:t>
            </w:r>
            <w:r>
              <w:rPr>
                <w:lang w:val="en-GB"/>
              </w:rPr>
              <w:t>。</w:t>
            </w:r>
          </w:p>
          <w:p>
            <w:pPr>
              <w:pStyle w:val="100"/>
            </w:pPr>
            <w:r>
              <w:t>表</w:t>
            </w:r>
            <w:r>
              <w:rPr>
                <w:rFonts w:hint="eastAsia"/>
              </w:rPr>
              <w:t>2-</w:t>
            </w:r>
            <w:r>
              <w:t>4 拟建项目主要设备一览表</w:t>
            </w:r>
          </w:p>
          <w:tbl>
            <w:tblPr>
              <w:tblStyle w:val="185"/>
              <w:tblW w:w="816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2868"/>
              <w:gridCol w:w="2509"/>
              <w:gridCol w:w="935"/>
              <w:gridCol w:w="79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b/>
                      <w:bCs/>
                      <w:color w:val="auto"/>
                    </w:rPr>
                  </w:pPr>
                  <w:r>
                    <w:rPr>
                      <w:rFonts w:hint="eastAsia"/>
                      <w:b/>
                      <w:bCs/>
                      <w:color w:val="auto"/>
                    </w:rPr>
                    <w:t>序号</w:t>
                  </w:r>
                </w:p>
              </w:tc>
              <w:tc>
                <w:tcPr>
                  <w:tcW w:w="1757" w:type="pct"/>
                  <w:noWrap/>
                  <w:vAlign w:val="center"/>
                </w:tcPr>
                <w:p>
                  <w:pPr>
                    <w:pStyle w:val="178"/>
                    <w:widowControl w:val="0"/>
                    <w:rPr>
                      <w:b/>
                      <w:bCs/>
                      <w:color w:val="auto"/>
                    </w:rPr>
                  </w:pPr>
                  <w:r>
                    <w:rPr>
                      <w:rFonts w:hint="eastAsia"/>
                      <w:b/>
                      <w:bCs/>
                      <w:color w:val="auto"/>
                    </w:rPr>
                    <w:t>设备名称</w:t>
                  </w:r>
                </w:p>
              </w:tc>
              <w:tc>
                <w:tcPr>
                  <w:tcW w:w="1537" w:type="pct"/>
                  <w:vAlign w:val="center"/>
                </w:tcPr>
                <w:p>
                  <w:pPr>
                    <w:pStyle w:val="178"/>
                    <w:widowControl w:val="0"/>
                    <w:rPr>
                      <w:b/>
                      <w:bCs/>
                      <w:color w:val="auto"/>
                    </w:rPr>
                  </w:pPr>
                  <w:r>
                    <w:rPr>
                      <w:rFonts w:hint="eastAsia"/>
                      <w:b/>
                      <w:bCs/>
                      <w:color w:val="auto"/>
                    </w:rPr>
                    <w:t>规格型号</w:t>
                  </w:r>
                </w:p>
              </w:tc>
              <w:tc>
                <w:tcPr>
                  <w:tcW w:w="573" w:type="pct"/>
                  <w:noWrap/>
                  <w:vAlign w:val="center"/>
                </w:tcPr>
                <w:p>
                  <w:pPr>
                    <w:pStyle w:val="178"/>
                    <w:widowControl w:val="0"/>
                    <w:rPr>
                      <w:b/>
                      <w:bCs/>
                      <w:color w:val="auto"/>
                    </w:rPr>
                  </w:pPr>
                  <w:r>
                    <w:rPr>
                      <w:rFonts w:hint="eastAsia"/>
                      <w:b/>
                      <w:bCs/>
                      <w:color w:val="auto"/>
                    </w:rPr>
                    <w:t>单位</w:t>
                  </w:r>
                </w:p>
              </w:tc>
              <w:tc>
                <w:tcPr>
                  <w:tcW w:w="486" w:type="pct"/>
                  <w:noWrap/>
                  <w:vAlign w:val="center"/>
                </w:tcPr>
                <w:p>
                  <w:pPr>
                    <w:pStyle w:val="178"/>
                    <w:widowControl w:val="0"/>
                    <w:rPr>
                      <w:b/>
                      <w:bCs/>
                      <w:color w:val="auto"/>
                    </w:rPr>
                  </w:pPr>
                  <w:r>
                    <w:rPr>
                      <w:rFonts w:hint="eastAsia"/>
                      <w:b/>
                      <w:bCs/>
                      <w:color w:val="auto"/>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color w:val="auto"/>
                    </w:rPr>
                    <w:t>1</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OSB环刨机</w:t>
                  </w:r>
                </w:p>
              </w:tc>
              <w:tc>
                <w:tcPr>
                  <w:tcW w:w="1537" w:type="pct"/>
                  <w:tcBorders>
                    <w:tl2br w:val="nil"/>
                    <w:tr2bl w:val="nil"/>
                  </w:tcBorders>
                  <w:vAlign w:val="center"/>
                </w:tcPr>
                <w:p>
                  <w:pPr>
                    <w:pStyle w:val="178"/>
                    <w:widowControl w:val="0"/>
                    <w:rPr>
                      <w:color w:val="auto"/>
                    </w:rPr>
                  </w:pPr>
                  <w:r>
                    <w:rPr>
                      <w:rFonts w:hint="eastAsia"/>
                      <w:color w:val="auto"/>
                    </w:rPr>
                    <w:t>BX4616</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2</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木心截断机</w:t>
                  </w:r>
                </w:p>
              </w:tc>
              <w:tc>
                <w:tcPr>
                  <w:tcW w:w="1537" w:type="pct"/>
                  <w:tcBorders>
                    <w:tl2br w:val="nil"/>
                    <w:tr2bl w:val="nil"/>
                  </w:tcBorders>
                  <w:vAlign w:val="center"/>
                </w:tcPr>
                <w:p>
                  <w:pPr>
                    <w:pStyle w:val="178"/>
                    <w:widowControl w:val="0"/>
                    <w:rPr>
                      <w:color w:val="auto"/>
                    </w:rPr>
                  </w:pPr>
                  <w:r>
                    <w:rPr>
                      <w:rFonts w:hint="eastAsia"/>
                      <w:color w:val="auto"/>
                    </w:rPr>
                    <w:t>BCX1300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3</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刨花湿料仓</w:t>
                  </w:r>
                </w:p>
              </w:tc>
              <w:tc>
                <w:tcPr>
                  <w:tcW w:w="1537" w:type="pct"/>
                  <w:tcBorders>
                    <w:tl2br w:val="nil"/>
                    <w:tr2bl w:val="nil"/>
                  </w:tcBorders>
                  <w:vAlign w:val="center"/>
                </w:tcPr>
                <w:p>
                  <w:pPr>
                    <w:pStyle w:val="178"/>
                    <w:widowControl w:val="0"/>
                    <w:rPr>
                      <w:color w:val="auto"/>
                    </w:rPr>
                  </w:pPr>
                  <w:r>
                    <w:rPr>
                      <w:rFonts w:hint="eastAsia"/>
                      <w:color w:val="auto"/>
                    </w:rPr>
                    <w:t>40立方</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4</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木片干料仓</w:t>
                  </w:r>
                </w:p>
              </w:tc>
              <w:tc>
                <w:tcPr>
                  <w:tcW w:w="1537" w:type="pct"/>
                  <w:tcBorders>
                    <w:tl2br w:val="nil"/>
                    <w:tr2bl w:val="nil"/>
                  </w:tcBorders>
                  <w:vAlign w:val="center"/>
                </w:tcPr>
                <w:p>
                  <w:pPr>
                    <w:pStyle w:val="178"/>
                    <w:widowControl w:val="0"/>
                    <w:rPr>
                      <w:color w:val="auto"/>
                    </w:rPr>
                  </w:pPr>
                  <w:r>
                    <w:rPr>
                      <w:rFonts w:hint="eastAsia"/>
                      <w:color w:val="auto"/>
                    </w:rPr>
                    <w:t>40立方</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color w:val="auto"/>
                    </w:rPr>
                    <w:t>5</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扩张下料式干燥机</w:t>
                  </w:r>
                </w:p>
              </w:tc>
              <w:tc>
                <w:tcPr>
                  <w:tcW w:w="1537" w:type="pct"/>
                  <w:tcBorders>
                    <w:tl2br w:val="nil"/>
                    <w:tr2bl w:val="nil"/>
                  </w:tcBorders>
                  <w:vAlign w:val="center"/>
                </w:tcPr>
                <w:p>
                  <w:pPr>
                    <w:pStyle w:val="178"/>
                    <w:widowControl w:val="0"/>
                    <w:rPr>
                      <w:color w:val="auto"/>
                    </w:rPr>
                  </w:pPr>
                  <w:r>
                    <w:rPr>
                      <w:rFonts w:hint="eastAsia"/>
                      <w:color w:val="auto"/>
                    </w:rPr>
                    <w:t>型号3320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6</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面料干燥系统与热风除尘系统</w:t>
                  </w:r>
                </w:p>
              </w:tc>
              <w:tc>
                <w:tcPr>
                  <w:tcW w:w="1537" w:type="pct"/>
                  <w:tcBorders>
                    <w:tl2br w:val="nil"/>
                    <w:tr2bl w:val="nil"/>
                  </w:tcBorders>
                  <w:vAlign w:val="center"/>
                </w:tcPr>
                <w:p>
                  <w:pPr>
                    <w:pStyle w:val="178"/>
                    <w:widowControl w:val="0"/>
                    <w:rPr>
                      <w:color w:val="auto"/>
                    </w:rPr>
                  </w:pPr>
                  <w:r>
                    <w:rPr>
                      <w:rFonts w:hint="eastAsia"/>
                      <w:color w:val="auto"/>
                      <w:szCs w:val="21"/>
                      <w:lang w:bidi="ar"/>
                    </w:rPr>
                    <w:t>/</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套</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7</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辊筒筛</w:t>
                  </w:r>
                </w:p>
              </w:tc>
              <w:tc>
                <w:tcPr>
                  <w:tcW w:w="1537" w:type="pct"/>
                  <w:tcBorders>
                    <w:tl2br w:val="nil"/>
                    <w:tr2bl w:val="nil"/>
                  </w:tcBorders>
                  <w:vAlign w:val="center"/>
                </w:tcPr>
                <w:p>
                  <w:pPr>
                    <w:pStyle w:val="178"/>
                    <w:widowControl w:val="0"/>
                    <w:rPr>
                      <w:color w:val="auto"/>
                    </w:rPr>
                  </w:pPr>
                  <w:r>
                    <w:rPr>
                      <w:rFonts w:hint="eastAsia"/>
                      <w:color w:val="auto"/>
                    </w:rPr>
                    <w:t>型号3070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8</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计量传动料仓</w:t>
                  </w:r>
                </w:p>
              </w:tc>
              <w:tc>
                <w:tcPr>
                  <w:tcW w:w="1537" w:type="pct"/>
                  <w:tcBorders>
                    <w:tl2br w:val="nil"/>
                    <w:tr2bl w:val="nil"/>
                  </w:tcBorders>
                  <w:vAlign w:val="center"/>
                </w:tcPr>
                <w:p>
                  <w:pPr>
                    <w:pStyle w:val="178"/>
                    <w:widowControl w:val="0"/>
                    <w:rPr>
                      <w:color w:val="auto"/>
                    </w:rPr>
                  </w:pPr>
                  <w:r>
                    <w:rPr>
                      <w:rFonts w:hint="eastAsia"/>
                      <w:color w:val="auto"/>
                    </w:rPr>
                    <w:t>GF1300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9</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大辊筒高效施胶机</w:t>
                  </w:r>
                </w:p>
              </w:tc>
              <w:tc>
                <w:tcPr>
                  <w:tcW w:w="1537" w:type="pct"/>
                  <w:tcBorders>
                    <w:tl2br w:val="nil"/>
                    <w:tr2bl w:val="nil"/>
                  </w:tcBorders>
                  <w:vAlign w:val="center"/>
                </w:tcPr>
                <w:p>
                  <w:pPr>
                    <w:pStyle w:val="178"/>
                    <w:widowControl w:val="0"/>
                    <w:rPr>
                      <w:color w:val="auto"/>
                    </w:rPr>
                  </w:pPr>
                  <w:r>
                    <w:rPr>
                      <w:rFonts w:hint="eastAsia"/>
                      <w:color w:val="auto"/>
                    </w:rPr>
                    <w:t>型号2270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1</w:t>
                  </w:r>
                  <w:r>
                    <w:rPr>
                      <w:color w:val="auto"/>
                    </w:rPr>
                    <w:t>0</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专业OSB铺装机</w:t>
                  </w:r>
                </w:p>
              </w:tc>
              <w:tc>
                <w:tcPr>
                  <w:tcW w:w="1537" w:type="pct"/>
                  <w:tcBorders>
                    <w:tl2br w:val="nil"/>
                    <w:tr2bl w:val="nil"/>
                  </w:tcBorders>
                  <w:vAlign w:val="center"/>
                </w:tcPr>
                <w:p>
                  <w:pPr>
                    <w:pStyle w:val="178"/>
                    <w:widowControl w:val="0"/>
                    <w:rPr>
                      <w:color w:val="auto"/>
                    </w:rPr>
                  </w:pPr>
                  <w:r>
                    <w:rPr>
                      <w:rFonts w:hint="eastAsia"/>
                      <w:color w:val="auto"/>
                    </w:rPr>
                    <w:t>型号OSF2T</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11</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重物分离器</w:t>
                  </w:r>
                </w:p>
              </w:tc>
              <w:tc>
                <w:tcPr>
                  <w:tcW w:w="1537" w:type="pct"/>
                  <w:tcBorders>
                    <w:tl2br w:val="nil"/>
                    <w:tr2bl w:val="nil"/>
                  </w:tcBorders>
                  <w:vAlign w:val="center"/>
                </w:tcPr>
                <w:p>
                  <w:pPr>
                    <w:pStyle w:val="178"/>
                    <w:widowControl w:val="0"/>
                    <w:rPr>
                      <w:color w:val="auto"/>
                    </w:rPr>
                  </w:pPr>
                  <w:r>
                    <w:rPr>
                      <w:rFonts w:hint="eastAsia"/>
                      <w:color w:val="auto"/>
                    </w:rPr>
                    <w:t>BZ1024</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台</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12</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旋切机</w:t>
                  </w:r>
                </w:p>
              </w:tc>
              <w:tc>
                <w:tcPr>
                  <w:tcW w:w="1537" w:type="pct"/>
                  <w:tcBorders>
                    <w:tl2br w:val="nil"/>
                    <w:tr2bl w:val="nil"/>
                  </w:tcBorders>
                  <w:vAlign w:val="center"/>
                </w:tcPr>
                <w:p>
                  <w:pPr>
                    <w:pStyle w:val="178"/>
                    <w:widowControl w:val="0"/>
                    <w:rPr>
                      <w:color w:val="auto"/>
                    </w:rPr>
                  </w:pPr>
                  <w:r>
                    <w:rPr>
                      <w:rFonts w:hint="eastAsia"/>
                      <w:color w:val="auto"/>
                    </w:rPr>
                    <w:t>型号2990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套</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13</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找圆机</w:t>
                  </w:r>
                </w:p>
              </w:tc>
              <w:tc>
                <w:tcPr>
                  <w:tcW w:w="1537" w:type="pct"/>
                  <w:tcBorders>
                    <w:tl2br w:val="nil"/>
                    <w:tr2bl w:val="nil"/>
                  </w:tcBorders>
                  <w:vAlign w:val="center"/>
                </w:tcPr>
                <w:p>
                  <w:pPr>
                    <w:pStyle w:val="178"/>
                    <w:widowControl w:val="0"/>
                    <w:rPr>
                      <w:color w:val="auto"/>
                    </w:rPr>
                  </w:pPr>
                  <w:r>
                    <w:rPr>
                      <w:rFonts w:hint="eastAsia"/>
                      <w:color w:val="auto"/>
                    </w:rPr>
                    <w:t>型号2900</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套</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647" w:type="pct"/>
                  <w:vAlign w:val="center"/>
                </w:tcPr>
                <w:p>
                  <w:pPr>
                    <w:pStyle w:val="178"/>
                    <w:widowControl w:val="0"/>
                    <w:rPr>
                      <w:color w:val="auto"/>
                    </w:rPr>
                  </w:pPr>
                  <w:r>
                    <w:rPr>
                      <w:rFonts w:hint="eastAsia"/>
                      <w:color w:val="auto"/>
                    </w:rPr>
                    <w:t>14</w:t>
                  </w:r>
                </w:p>
              </w:tc>
              <w:tc>
                <w:tcPr>
                  <w:tcW w:w="1757" w:type="pct"/>
                  <w:tcBorders>
                    <w:tl2br w:val="nil"/>
                    <w:tr2bl w:val="nil"/>
                  </w:tcBorders>
                  <w:shd w:val="clear" w:color="auto" w:fill="auto"/>
                  <w:noWrap/>
                  <w:vAlign w:val="center"/>
                </w:tcPr>
                <w:p>
                  <w:pPr>
                    <w:pStyle w:val="178"/>
                    <w:widowControl w:val="0"/>
                    <w:rPr>
                      <w:color w:val="auto"/>
                    </w:rPr>
                  </w:pPr>
                  <w:r>
                    <w:rPr>
                      <w:rFonts w:hint="eastAsia"/>
                      <w:color w:val="auto"/>
                    </w:rPr>
                    <w:t>扒皮机</w:t>
                  </w:r>
                </w:p>
              </w:tc>
              <w:tc>
                <w:tcPr>
                  <w:tcW w:w="1537" w:type="pct"/>
                  <w:tcBorders>
                    <w:tl2br w:val="nil"/>
                    <w:tr2bl w:val="nil"/>
                  </w:tcBorders>
                  <w:vAlign w:val="center"/>
                </w:tcPr>
                <w:p>
                  <w:pPr>
                    <w:pStyle w:val="178"/>
                    <w:widowControl w:val="0"/>
                    <w:rPr>
                      <w:color w:val="auto"/>
                    </w:rPr>
                  </w:pPr>
                  <w:r>
                    <w:rPr>
                      <w:rFonts w:hint="eastAsia"/>
                      <w:color w:val="auto"/>
                      <w:szCs w:val="21"/>
                      <w:lang w:bidi="ar"/>
                    </w:rPr>
                    <w:t>/</w:t>
                  </w:r>
                </w:p>
              </w:tc>
              <w:tc>
                <w:tcPr>
                  <w:tcW w:w="573" w:type="pct"/>
                  <w:tcBorders>
                    <w:tl2br w:val="nil"/>
                    <w:tr2bl w:val="nil"/>
                  </w:tcBorders>
                  <w:shd w:val="clear" w:color="auto" w:fill="auto"/>
                  <w:noWrap/>
                  <w:vAlign w:val="center"/>
                </w:tcPr>
                <w:p>
                  <w:pPr>
                    <w:pStyle w:val="178"/>
                    <w:widowControl w:val="0"/>
                    <w:rPr>
                      <w:color w:val="auto"/>
                    </w:rPr>
                  </w:pPr>
                  <w:r>
                    <w:rPr>
                      <w:rFonts w:hint="eastAsia"/>
                      <w:color w:val="auto"/>
                    </w:rPr>
                    <w:t>套</w:t>
                  </w:r>
                </w:p>
              </w:tc>
              <w:tc>
                <w:tcPr>
                  <w:tcW w:w="486" w:type="pct"/>
                  <w:tcBorders>
                    <w:tl2br w:val="nil"/>
                    <w:tr2bl w:val="nil"/>
                  </w:tcBorders>
                  <w:shd w:val="clear" w:color="auto" w:fill="auto"/>
                  <w:noWrap/>
                  <w:vAlign w:val="center"/>
                </w:tcPr>
                <w:p>
                  <w:pPr>
                    <w:pStyle w:val="178"/>
                    <w:widowControl w:val="0"/>
                    <w:rPr>
                      <w:color w:val="auto"/>
                    </w:rPr>
                  </w:pPr>
                  <w:r>
                    <w:rPr>
                      <w:rFonts w:hint="eastAsia"/>
                      <w:color w:val="auto"/>
                    </w:rPr>
                    <w:t>1</w:t>
                  </w:r>
                </w:p>
              </w:tc>
            </w:tr>
          </w:tbl>
          <w:p>
            <w:pPr>
              <w:spacing w:before="120" w:beforeLines="50" w:line="360" w:lineRule="auto"/>
              <w:ind w:firstLine="480" w:firstLineChars="200"/>
              <w:rPr>
                <w:lang w:val="en-GB"/>
              </w:rPr>
            </w:pPr>
            <w:r>
              <w:rPr>
                <w:rFonts w:hint="eastAsia"/>
                <w:lang w:val="en-GB"/>
              </w:rPr>
              <w:t>拟建项目设备变动情况如下：</w:t>
            </w:r>
          </w:p>
          <w:p>
            <w:pPr>
              <w:pStyle w:val="100"/>
            </w:pPr>
            <w:r>
              <w:t>表</w:t>
            </w:r>
            <w:r>
              <w:rPr>
                <w:rFonts w:hint="eastAsia"/>
              </w:rPr>
              <w:t>2-</w:t>
            </w:r>
            <w:r>
              <w:t xml:space="preserve">5 </w:t>
            </w:r>
            <w:r>
              <w:rPr>
                <w:rFonts w:hint="eastAsia"/>
              </w:rPr>
              <w:t>项目设备变动情况</w:t>
            </w:r>
            <w:r>
              <w:t>一览表</w:t>
            </w:r>
          </w:p>
          <w:tbl>
            <w:tblPr>
              <w:tblStyle w:val="185"/>
              <w:tblW w:w="826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1376"/>
              <w:gridCol w:w="1215"/>
              <w:gridCol w:w="640"/>
              <w:gridCol w:w="1129"/>
              <w:gridCol w:w="1128"/>
              <w:gridCol w:w="1411"/>
              <w:gridCol w:w="7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序号</w:t>
                  </w:r>
                </w:p>
              </w:tc>
              <w:tc>
                <w:tcPr>
                  <w:tcW w:w="832" w:type="pct"/>
                  <w:noWrap/>
                  <w:vAlign w:val="center"/>
                </w:tcPr>
                <w:p>
                  <w:pPr>
                    <w:pStyle w:val="215"/>
                  </w:pPr>
                  <w:r>
                    <w:rPr>
                      <w:rFonts w:hint="eastAsia"/>
                    </w:rPr>
                    <w:t>原设备名称</w:t>
                  </w:r>
                </w:p>
              </w:tc>
              <w:tc>
                <w:tcPr>
                  <w:tcW w:w="735" w:type="pct"/>
                  <w:vAlign w:val="center"/>
                </w:tcPr>
                <w:p>
                  <w:pPr>
                    <w:pStyle w:val="215"/>
                  </w:pPr>
                  <w:r>
                    <w:rPr>
                      <w:rFonts w:hint="eastAsia"/>
                    </w:rPr>
                    <w:t>型号</w:t>
                  </w:r>
                </w:p>
              </w:tc>
              <w:tc>
                <w:tcPr>
                  <w:tcW w:w="387" w:type="pct"/>
                  <w:noWrap/>
                  <w:vAlign w:val="center"/>
                </w:tcPr>
                <w:p>
                  <w:pPr>
                    <w:pStyle w:val="215"/>
                  </w:pPr>
                  <w:r>
                    <w:rPr>
                      <w:rFonts w:hint="eastAsia"/>
                    </w:rPr>
                    <w:t>数量</w:t>
                  </w:r>
                </w:p>
              </w:tc>
              <w:tc>
                <w:tcPr>
                  <w:tcW w:w="683" w:type="pct"/>
                  <w:vAlign w:val="center"/>
                </w:tcPr>
                <w:p>
                  <w:pPr>
                    <w:pStyle w:val="215"/>
                  </w:pPr>
                  <w:r>
                    <w:rPr>
                      <w:rFonts w:hint="eastAsia"/>
                    </w:rPr>
                    <w:t>变动情况</w:t>
                  </w:r>
                </w:p>
              </w:tc>
              <w:tc>
                <w:tcPr>
                  <w:tcW w:w="682" w:type="pct"/>
                  <w:vAlign w:val="center"/>
                </w:tcPr>
                <w:p>
                  <w:pPr>
                    <w:pStyle w:val="215"/>
                  </w:pPr>
                  <w:r>
                    <w:rPr>
                      <w:rFonts w:hint="eastAsia"/>
                    </w:rPr>
                    <w:t>设备名称</w:t>
                  </w:r>
                </w:p>
              </w:tc>
              <w:tc>
                <w:tcPr>
                  <w:tcW w:w="853" w:type="pct"/>
                  <w:vAlign w:val="center"/>
                </w:tcPr>
                <w:p>
                  <w:pPr>
                    <w:pStyle w:val="215"/>
                  </w:pPr>
                  <w:r>
                    <w:rPr>
                      <w:rFonts w:hint="eastAsia"/>
                    </w:rPr>
                    <w:t>型号</w:t>
                  </w:r>
                </w:p>
              </w:tc>
              <w:tc>
                <w:tcPr>
                  <w:tcW w:w="427" w:type="pct"/>
                  <w:vAlign w:val="center"/>
                </w:tcPr>
                <w:p>
                  <w:pPr>
                    <w:pStyle w:val="215"/>
                  </w:pPr>
                  <w:r>
                    <w:rPr>
                      <w:rFonts w:hint="eastAsia"/>
                    </w:rPr>
                    <w:t>数量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t>1</w:t>
                  </w:r>
                </w:p>
              </w:tc>
              <w:tc>
                <w:tcPr>
                  <w:tcW w:w="832" w:type="pct"/>
                  <w:noWrap/>
                  <w:vAlign w:val="center"/>
                </w:tcPr>
                <w:p>
                  <w:pPr>
                    <w:pStyle w:val="215"/>
                  </w:pPr>
                  <w:r>
                    <w:rPr>
                      <w:rFonts w:hint="eastAsia"/>
                    </w:rPr>
                    <w:t>刨花湿料仓</w:t>
                  </w:r>
                </w:p>
              </w:tc>
              <w:tc>
                <w:tcPr>
                  <w:tcW w:w="735" w:type="pct"/>
                  <w:vAlign w:val="center"/>
                </w:tcPr>
                <w:p>
                  <w:pPr>
                    <w:pStyle w:val="215"/>
                  </w:pPr>
                </w:p>
              </w:tc>
              <w:tc>
                <w:tcPr>
                  <w:tcW w:w="387" w:type="pct"/>
                  <w:noWrap/>
                  <w:vAlign w:val="center"/>
                </w:tcPr>
                <w:p>
                  <w:pPr>
                    <w:pStyle w:val="215"/>
                  </w:pPr>
                </w:p>
              </w:tc>
              <w:tc>
                <w:tcPr>
                  <w:tcW w:w="683" w:type="pct"/>
                  <w:vMerge w:val="restart"/>
                  <w:vAlign w:val="center"/>
                </w:tcPr>
                <w:p>
                  <w:pPr>
                    <w:pStyle w:val="215"/>
                  </w:pPr>
                  <w:r>
                    <w:rPr>
                      <w:rFonts w:hint="eastAsia"/>
                    </w:rPr>
                    <w:t>新增</w:t>
                  </w:r>
                </w:p>
              </w:tc>
              <w:tc>
                <w:tcPr>
                  <w:tcW w:w="682" w:type="pct"/>
                  <w:vAlign w:val="center"/>
                </w:tcPr>
                <w:p>
                  <w:pPr>
                    <w:pStyle w:val="215"/>
                  </w:pPr>
                </w:p>
              </w:tc>
              <w:tc>
                <w:tcPr>
                  <w:tcW w:w="853" w:type="pct"/>
                  <w:vAlign w:val="center"/>
                </w:tcPr>
                <w:p>
                  <w:pPr>
                    <w:pStyle w:val="215"/>
                  </w:pPr>
                  <w:r>
                    <w:rPr>
                      <w:rFonts w:hint="eastAsia"/>
                    </w:rPr>
                    <w:t>40立方</w:t>
                  </w:r>
                </w:p>
              </w:tc>
              <w:tc>
                <w:tcPr>
                  <w:tcW w:w="427" w:type="pct"/>
                  <w:vAlign w:val="center"/>
                </w:tcPr>
                <w:p>
                  <w:pPr>
                    <w:pStyle w:val="215"/>
                  </w:pPr>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2</w:t>
                  </w:r>
                </w:p>
              </w:tc>
              <w:tc>
                <w:tcPr>
                  <w:tcW w:w="832" w:type="pct"/>
                  <w:noWrap/>
                  <w:vAlign w:val="center"/>
                </w:tcPr>
                <w:p>
                  <w:pPr>
                    <w:pStyle w:val="215"/>
                  </w:pPr>
                  <w:r>
                    <w:rPr>
                      <w:rFonts w:hint="eastAsia"/>
                    </w:rPr>
                    <w:t>木片湿料仓</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rPr>
                    <w:t>40立方</w:t>
                  </w:r>
                </w:p>
              </w:tc>
              <w:tc>
                <w:tcPr>
                  <w:tcW w:w="427" w:type="pct"/>
                  <w:vAlign w:val="center"/>
                </w:tcPr>
                <w:p>
                  <w:pPr>
                    <w:pStyle w:val="215"/>
                  </w:pPr>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3</w:t>
                  </w:r>
                </w:p>
              </w:tc>
              <w:tc>
                <w:tcPr>
                  <w:tcW w:w="832" w:type="pct"/>
                  <w:noWrap/>
                  <w:vAlign w:val="center"/>
                </w:tcPr>
                <w:p>
                  <w:pPr>
                    <w:pStyle w:val="215"/>
                  </w:pPr>
                  <w:r>
                    <w:rPr>
                      <w:rFonts w:hint="eastAsia"/>
                    </w:rPr>
                    <w:t>面料干燥系统</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rPr>
                    <w:t>/</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4</w:t>
                  </w:r>
                </w:p>
              </w:tc>
              <w:tc>
                <w:tcPr>
                  <w:tcW w:w="832" w:type="pct"/>
                  <w:noWrap/>
                  <w:vAlign w:val="center"/>
                </w:tcPr>
                <w:p>
                  <w:pPr>
                    <w:pStyle w:val="215"/>
                  </w:pPr>
                  <w:r>
                    <w:rPr>
                      <w:rFonts w:hint="eastAsia"/>
                    </w:rPr>
                    <w:t>木心截断机</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rPr>
                    <w:t>BCX1300</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5</w:t>
                  </w:r>
                </w:p>
              </w:tc>
              <w:tc>
                <w:tcPr>
                  <w:tcW w:w="832" w:type="pct"/>
                  <w:noWrap/>
                  <w:vAlign w:val="center"/>
                </w:tcPr>
                <w:p>
                  <w:pPr>
                    <w:pStyle w:val="215"/>
                  </w:pPr>
                  <w:r>
                    <w:rPr>
                      <w:rFonts w:hint="eastAsia"/>
                    </w:rPr>
                    <w:t>重物分离器</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rPr>
                    <w:t>BZ1024</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6</w:t>
                  </w:r>
                </w:p>
              </w:tc>
              <w:tc>
                <w:tcPr>
                  <w:tcW w:w="832" w:type="pct"/>
                  <w:noWrap/>
                  <w:vAlign w:val="center"/>
                </w:tcPr>
                <w:p>
                  <w:pPr>
                    <w:pStyle w:val="215"/>
                  </w:pPr>
                  <w:r>
                    <w:rPr>
                      <w:rFonts w:hint="eastAsia"/>
                    </w:rPr>
                    <w:t>找圆机</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rPr>
                    <w:t>型号2900</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7</w:t>
                  </w:r>
                </w:p>
              </w:tc>
              <w:tc>
                <w:tcPr>
                  <w:tcW w:w="832" w:type="pct"/>
                  <w:noWrap/>
                  <w:vAlign w:val="center"/>
                </w:tcPr>
                <w:p>
                  <w:pPr>
                    <w:pStyle w:val="215"/>
                  </w:pPr>
                  <w:r>
                    <w:rPr>
                      <w:rFonts w:hint="eastAsia"/>
                    </w:rPr>
                    <w:t>扒皮机</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lang w:bidi="ar"/>
                    </w:rPr>
                    <w:t>/</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8</w:t>
                  </w:r>
                </w:p>
              </w:tc>
              <w:tc>
                <w:tcPr>
                  <w:tcW w:w="832" w:type="pct"/>
                  <w:noWrap/>
                  <w:vAlign w:val="center"/>
                </w:tcPr>
                <w:p>
                  <w:pPr>
                    <w:pStyle w:val="215"/>
                  </w:pPr>
                  <w:r>
                    <w:rPr>
                      <w:rFonts w:hint="eastAsia"/>
                    </w:rPr>
                    <w:t>袋式除尘器</w:t>
                  </w:r>
                </w:p>
              </w:tc>
              <w:tc>
                <w:tcPr>
                  <w:tcW w:w="735" w:type="pct"/>
                  <w:vAlign w:val="center"/>
                </w:tcPr>
                <w:p>
                  <w:pPr>
                    <w:pStyle w:val="215"/>
                  </w:pPr>
                </w:p>
              </w:tc>
              <w:tc>
                <w:tcPr>
                  <w:tcW w:w="387" w:type="pct"/>
                  <w:noWrap/>
                  <w:vAlign w:val="center"/>
                </w:tcPr>
                <w:p>
                  <w:pPr>
                    <w:pStyle w:val="215"/>
                  </w:pPr>
                </w:p>
              </w:tc>
              <w:tc>
                <w:tcPr>
                  <w:tcW w:w="683" w:type="pct"/>
                  <w:vMerge w:val="continue"/>
                  <w:vAlign w:val="center"/>
                </w:tcPr>
                <w:p>
                  <w:pPr>
                    <w:pStyle w:val="215"/>
                  </w:pPr>
                </w:p>
              </w:tc>
              <w:tc>
                <w:tcPr>
                  <w:tcW w:w="682" w:type="pct"/>
                  <w:vAlign w:val="center"/>
                </w:tcPr>
                <w:p>
                  <w:pPr>
                    <w:pStyle w:val="215"/>
                  </w:pPr>
                </w:p>
              </w:tc>
              <w:tc>
                <w:tcPr>
                  <w:tcW w:w="853" w:type="pct"/>
                  <w:vAlign w:val="center"/>
                </w:tcPr>
                <w:p>
                  <w:pPr>
                    <w:pStyle w:val="215"/>
                  </w:pPr>
                  <w:r>
                    <w:rPr>
                      <w:rFonts w:hint="eastAsia"/>
                    </w:rPr>
                    <w:t>/</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9</w:t>
                  </w:r>
                </w:p>
              </w:tc>
              <w:tc>
                <w:tcPr>
                  <w:tcW w:w="832" w:type="pct"/>
                  <w:noWrap/>
                  <w:vAlign w:val="center"/>
                </w:tcPr>
                <w:p>
                  <w:pPr>
                    <w:pStyle w:val="215"/>
                  </w:pPr>
                  <w:r>
                    <w:rPr>
                      <w:rFonts w:hint="eastAsia"/>
                    </w:rPr>
                    <w:t>鼓式削片机</w:t>
                  </w:r>
                </w:p>
              </w:tc>
              <w:tc>
                <w:tcPr>
                  <w:tcW w:w="735" w:type="pct"/>
                  <w:vAlign w:val="center"/>
                </w:tcPr>
                <w:p>
                  <w:pPr>
                    <w:pStyle w:val="215"/>
                  </w:pPr>
                  <w:r>
                    <w:t>BX218D</w:t>
                  </w:r>
                </w:p>
              </w:tc>
              <w:tc>
                <w:tcPr>
                  <w:tcW w:w="387" w:type="pct"/>
                  <w:noWrap/>
                  <w:vAlign w:val="center"/>
                </w:tcPr>
                <w:p>
                  <w:pPr>
                    <w:pStyle w:val="215"/>
                  </w:pPr>
                  <w:r>
                    <w:rPr>
                      <w:rFonts w:hint="eastAsia"/>
                    </w:rPr>
                    <w:t>1</w:t>
                  </w:r>
                </w:p>
              </w:tc>
              <w:tc>
                <w:tcPr>
                  <w:tcW w:w="683" w:type="pct"/>
                  <w:vMerge w:val="restart"/>
                  <w:vAlign w:val="center"/>
                </w:tcPr>
                <w:p>
                  <w:pPr>
                    <w:pStyle w:val="215"/>
                  </w:pPr>
                  <w:r>
                    <w:rPr>
                      <w:rFonts w:hint="eastAsia"/>
                    </w:rPr>
                    <w:t>更新</w:t>
                  </w:r>
                </w:p>
              </w:tc>
              <w:tc>
                <w:tcPr>
                  <w:tcW w:w="682" w:type="pct"/>
                  <w:vAlign w:val="center"/>
                </w:tcPr>
                <w:p>
                  <w:pPr>
                    <w:pStyle w:val="215"/>
                  </w:pPr>
                  <w:r>
                    <w:rPr>
                      <w:rFonts w:hint="eastAsia"/>
                    </w:rPr>
                    <w:t>旋切机</w:t>
                  </w:r>
                </w:p>
              </w:tc>
              <w:tc>
                <w:tcPr>
                  <w:tcW w:w="853" w:type="pct"/>
                  <w:vAlign w:val="center"/>
                </w:tcPr>
                <w:p>
                  <w:pPr>
                    <w:pStyle w:val="215"/>
                  </w:pPr>
                  <w:r>
                    <w:rPr>
                      <w:rFonts w:hint="eastAsia"/>
                    </w:rPr>
                    <w:t>2990型</w:t>
                  </w:r>
                </w:p>
              </w:tc>
              <w:tc>
                <w:tcPr>
                  <w:tcW w:w="427" w:type="pct"/>
                  <w:vAlign w:val="center"/>
                </w:tcPr>
                <w:p>
                  <w:pPr>
                    <w:pStyle w:val="215"/>
                  </w:pPr>
                  <w: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1</w:t>
                  </w:r>
                  <w:r>
                    <w:t>0</w:t>
                  </w:r>
                </w:p>
              </w:tc>
              <w:tc>
                <w:tcPr>
                  <w:tcW w:w="832" w:type="pct"/>
                  <w:noWrap/>
                  <w:vAlign w:val="center"/>
                </w:tcPr>
                <w:p>
                  <w:pPr>
                    <w:pStyle w:val="215"/>
                  </w:pPr>
                  <w:r>
                    <w:rPr>
                      <w:rFonts w:hint="eastAsia"/>
                    </w:rPr>
                    <w:t>环式刨片机</w:t>
                  </w:r>
                </w:p>
              </w:tc>
              <w:tc>
                <w:tcPr>
                  <w:tcW w:w="735" w:type="pct"/>
                  <w:vAlign w:val="center"/>
                </w:tcPr>
                <w:p>
                  <w:pPr>
                    <w:pStyle w:val="215"/>
                  </w:pPr>
                  <w:r>
                    <w:t>BX4612-5</w:t>
                  </w:r>
                </w:p>
              </w:tc>
              <w:tc>
                <w:tcPr>
                  <w:tcW w:w="387" w:type="pct"/>
                  <w:noWrap/>
                  <w:vAlign w:val="center"/>
                </w:tcPr>
                <w:p>
                  <w:pPr>
                    <w:pStyle w:val="215"/>
                  </w:pPr>
                  <w:r>
                    <w:rPr>
                      <w:rFonts w:hint="eastAsia"/>
                    </w:rPr>
                    <w:t>1</w:t>
                  </w:r>
                </w:p>
              </w:tc>
              <w:tc>
                <w:tcPr>
                  <w:tcW w:w="683" w:type="pct"/>
                  <w:vMerge w:val="continue"/>
                  <w:vAlign w:val="center"/>
                </w:tcPr>
                <w:p>
                  <w:pPr>
                    <w:pStyle w:val="215"/>
                  </w:pPr>
                </w:p>
              </w:tc>
              <w:tc>
                <w:tcPr>
                  <w:tcW w:w="682" w:type="pct"/>
                  <w:vAlign w:val="center"/>
                </w:tcPr>
                <w:p>
                  <w:pPr>
                    <w:pStyle w:val="215"/>
                  </w:pPr>
                  <w:r>
                    <w:rPr>
                      <w:rFonts w:hint="eastAsia"/>
                    </w:rPr>
                    <w:t>OSB环刨机</w:t>
                  </w:r>
                </w:p>
              </w:tc>
              <w:tc>
                <w:tcPr>
                  <w:tcW w:w="853" w:type="pct"/>
                  <w:vAlign w:val="center"/>
                </w:tcPr>
                <w:p>
                  <w:pPr>
                    <w:pStyle w:val="215"/>
                  </w:pPr>
                  <w:r>
                    <w:rPr>
                      <w:rFonts w:hint="eastAsia"/>
                      <w:sz w:val="20"/>
                    </w:rPr>
                    <w:t>BX4616</w:t>
                  </w:r>
                </w:p>
              </w:tc>
              <w:tc>
                <w:tcPr>
                  <w:tcW w:w="427" w:type="pct"/>
                  <w:vAlign w:val="center"/>
                </w:tcPr>
                <w:p>
                  <w:pPr>
                    <w:pStyle w:val="215"/>
                  </w:pPr>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1</w:t>
                  </w:r>
                  <w:r>
                    <w:t>1</w:t>
                  </w:r>
                </w:p>
              </w:tc>
              <w:tc>
                <w:tcPr>
                  <w:tcW w:w="832" w:type="pct"/>
                  <w:noWrap/>
                  <w:vAlign w:val="center"/>
                </w:tcPr>
                <w:p>
                  <w:pPr>
                    <w:pStyle w:val="215"/>
                  </w:pPr>
                  <w:r>
                    <w:rPr>
                      <w:lang w:bidi="ar"/>
                    </w:rPr>
                    <w:t>单通道干燥机</w:t>
                  </w:r>
                </w:p>
              </w:tc>
              <w:tc>
                <w:tcPr>
                  <w:tcW w:w="735" w:type="pct"/>
                  <w:vAlign w:val="center"/>
                </w:tcPr>
                <w:p>
                  <w:pPr>
                    <w:pStyle w:val="215"/>
                  </w:pPr>
                  <w:r>
                    <w:rPr>
                      <w:lang w:bidi="ar"/>
                    </w:rPr>
                    <w:t>BG218</w:t>
                  </w:r>
                </w:p>
              </w:tc>
              <w:tc>
                <w:tcPr>
                  <w:tcW w:w="387" w:type="pct"/>
                  <w:noWrap/>
                  <w:vAlign w:val="center"/>
                </w:tcPr>
                <w:p>
                  <w:pPr>
                    <w:pStyle w:val="215"/>
                  </w:pPr>
                  <w:r>
                    <w:rPr>
                      <w:rFonts w:hint="eastAsia"/>
                    </w:rPr>
                    <w:t>1</w:t>
                  </w:r>
                </w:p>
              </w:tc>
              <w:tc>
                <w:tcPr>
                  <w:tcW w:w="683" w:type="pct"/>
                  <w:vMerge w:val="continue"/>
                  <w:vAlign w:val="center"/>
                </w:tcPr>
                <w:p>
                  <w:pPr>
                    <w:pStyle w:val="215"/>
                  </w:pPr>
                </w:p>
              </w:tc>
              <w:tc>
                <w:tcPr>
                  <w:tcW w:w="682" w:type="pct"/>
                  <w:vAlign w:val="center"/>
                </w:tcPr>
                <w:p>
                  <w:pPr>
                    <w:pStyle w:val="215"/>
                  </w:pPr>
                  <w:r>
                    <w:rPr>
                      <w:rFonts w:hint="eastAsia"/>
                    </w:rPr>
                    <w:t>扩张下料式干燥机</w:t>
                  </w:r>
                </w:p>
              </w:tc>
              <w:tc>
                <w:tcPr>
                  <w:tcW w:w="853" w:type="pct"/>
                  <w:vAlign w:val="center"/>
                </w:tcPr>
                <w:p>
                  <w:pPr>
                    <w:pStyle w:val="215"/>
                  </w:pPr>
                  <w:r>
                    <w:rPr>
                      <w:rFonts w:hint="eastAsia"/>
                    </w:rPr>
                    <w:t>/</w:t>
                  </w:r>
                </w:p>
              </w:tc>
              <w:tc>
                <w:tcPr>
                  <w:tcW w:w="427" w:type="pct"/>
                  <w:vAlign w:val="center"/>
                </w:tcPr>
                <w:p>
                  <w:pPr>
                    <w:pStyle w:val="215"/>
                  </w:pPr>
                  <w:r>
                    <w:rPr>
                      <w:rFonts w:hint="eastAsia"/>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1</w:t>
                  </w:r>
                  <w:r>
                    <w:t>2</w:t>
                  </w:r>
                </w:p>
              </w:tc>
              <w:tc>
                <w:tcPr>
                  <w:tcW w:w="832" w:type="pct"/>
                  <w:noWrap/>
                  <w:vAlign w:val="center"/>
                </w:tcPr>
                <w:p>
                  <w:pPr>
                    <w:pStyle w:val="215"/>
                  </w:pPr>
                  <w:r>
                    <w:rPr>
                      <w:lang w:bidi="ar"/>
                    </w:rPr>
                    <w:t>矩形摆筛</w:t>
                  </w:r>
                </w:p>
              </w:tc>
              <w:tc>
                <w:tcPr>
                  <w:tcW w:w="735" w:type="pct"/>
                  <w:vAlign w:val="center"/>
                </w:tcPr>
                <w:p>
                  <w:pPr>
                    <w:pStyle w:val="215"/>
                  </w:pPr>
                  <w:r>
                    <w:rPr>
                      <w:lang w:bidi="ar"/>
                    </w:rPr>
                    <w:t>BF14120</w:t>
                  </w:r>
                </w:p>
              </w:tc>
              <w:tc>
                <w:tcPr>
                  <w:tcW w:w="387" w:type="pct"/>
                  <w:noWrap/>
                  <w:vAlign w:val="center"/>
                </w:tcPr>
                <w:p>
                  <w:pPr>
                    <w:pStyle w:val="215"/>
                  </w:pPr>
                  <w:r>
                    <w:rPr>
                      <w:rFonts w:hint="eastAsia"/>
                    </w:rPr>
                    <w:t>2</w:t>
                  </w:r>
                </w:p>
              </w:tc>
              <w:tc>
                <w:tcPr>
                  <w:tcW w:w="683" w:type="pct"/>
                  <w:vMerge w:val="continue"/>
                  <w:vAlign w:val="center"/>
                </w:tcPr>
                <w:p>
                  <w:pPr>
                    <w:pStyle w:val="215"/>
                  </w:pPr>
                </w:p>
              </w:tc>
              <w:tc>
                <w:tcPr>
                  <w:tcW w:w="682" w:type="pct"/>
                  <w:vAlign w:val="center"/>
                </w:tcPr>
                <w:p>
                  <w:pPr>
                    <w:pStyle w:val="215"/>
                  </w:pPr>
                  <w:r>
                    <w:rPr>
                      <w:rFonts w:hint="eastAsia"/>
                    </w:rPr>
                    <w:t>辊筒筛</w:t>
                  </w:r>
                </w:p>
              </w:tc>
              <w:tc>
                <w:tcPr>
                  <w:tcW w:w="853" w:type="pct"/>
                  <w:vAlign w:val="center"/>
                </w:tcPr>
                <w:p>
                  <w:pPr>
                    <w:pStyle w:val="215"/>
                  </w:pPr>
                  <w:r>
                    <w:rPr>
                      <w:rFonts w:hint="eastAsia"/>
                      <w:sz w:val="20"/>
                    </w:rPr>
                    <w:t>型号3070</w:t>
                  </w:r>
                </w:p>
              </w:tc>
              <w:tc>
                <w:tcPr>
                  <w:tcW w:w="427" w:type="pct"/>
                  <w:vAlign w:val="center"/>
                </w:tcPr>
                <w:p>
                  <w:pPr>
                    <w:pStyle w:val="215"/>
                  </w:pPr>
                  <w: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1</w:t>
                  </w:r>
                  <w:r>
                    <w:t>3</w:t>
                  </w:r>
                </w:p>
              </w:tc>
              <w:tc>
                <w:tcPr>
                  <w:tcW w:w="832" w:type="pct"/>
                  <w:noWrap/>
                  <w:vAlign w:val="center"/>
                </w:tcPr>
                <w:p>
                  <w:pPr>
                    <w:pStyle w:val="215"/>
                  </w:pPr>
                  <w:r>
                    <w:rPr>
                      <w:rFonts w:hint="eastAsia"/>
                    </w:rPr>
                    <w:t>芯面料固定料仓</w:t>
                  </w:r>
                </w:p>
              </w:tc>
              <w:tc>
                <w:tcPr>
                  <w:tcW w:w="735" w:type="pct"/>
                  <w:vAlign w:val="center"/>
                </w:tcPr>
                <w:p>
                  <w:pPr>
                    <w:pStyle w:val="215"/>
                  </w:pPr>
                </w:p>
              </w:tc>
              <w:tc>
                <w:tcPr>
                  <w:tcW w:w="387" w:type="pct"/>
                  <w:noWrap/>
                  <w:vAlign w:val="center"/>
                </w:tcPr>
                <w:p>
                  <w:pPr>
                    <w:pStyle w:val="215"/>
                  </w:pPr>
                  <w:r>
                    <w:rPr>
                      <w:rFonts w:hint="eastAsia"/>
                    </w:rPr>
                    <w:t>1</w:t>
                  </w:r>
                </w:p>
              </w:tc>
              <w:tc>
                <w:tcPr>
                  <w:tcW w:w="683" w:type="pct"/>
                  <w:vMerge w:val="continue"/>
                  <w:vAlign w:val="center"/>
                </w:tcPr>
                <w:p>
                  <w:pPr>
                    <w:pStyle w:val="215"/>
                  </w:pPr>
                </w:p>
              </w:tc>
              <w:tc>
                <w:tcPr>
                  <w:tcW w:w="682" w:type="pct"/>
                  <w:vAlign w:val="center"/>
                </w:tcPr>
                <w:p>
                  <w:pPr>
                    <w:pStyle w:val="215"/>
                  </w:pPr>
                  <w:r>
                    <w:rPr>
                      <w:rFonts w:hint="eastAsia"/>
                    </w:rPr>
                    <w:t>计量传动料仓</w:t>
                  </w:r>
                </w:p>
              </w:tc>
              <w:tc>
                <w:tcPr>
                  <w:tcW w:w="853" w:type="pct"/>
                  <w:vAlign w:val="center"/>
                </w:tcPr>
                <w:p>
                  <w:pPr>
                    <w:pStyle w:val="215"/>
                  </w:pPr>
                  <w:r>
                    <w:rPr>
                      <w:rFonts w:hint="eastAsia"/>
                      <w:sz w:val="20"/>
                    </w:rPr>
                    <w:t>GF1300</w:t>
                  </w:r>
                </w:p>
              </w:tc>
              <w:tc>
                <w:tcPr>
                  <w:tcW w:w="427" w:type="pct"/>
                  <w:vAlign w:val="center"/>
                </w:tcPr>
                <w:p>
                  <w:pPr>
                    <w:pStyle w:val="215"/>
                  </w:pPr>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1</w:t>
                  </w:r>
                  <w:r>
                    <w:t>4</w:t>
                  </w:r>
                </w:p>
              </w:tc>
              <w:tc>
                <w:tcPr>
                  <w:tcW w:w="832" w:type="pct"/>
                  <w:noWrap/>
                  <w:vAlign w:val="center"/>
                </w:tcPr>
                <w:p>
                  <w:pPr>
                    <w:pStyle w:val="215"/>
                  </w:pPr>
                  <w:r>
                    <w:rPr>
                      <w:lang w:bidi="ar"/>
                    </w:rPr>
                    <w:t>环形拌胶机</w:t>
                  </w:r>
                </w:p>
              </w:tc>
              <w:tc>
                <w:tcPr>
                  <w:tcW w:w="735" w:type="pct"/>
                  <w:vAlign w:val="center"/>
                </w:tcPr>
                <w:p>
                  <w:pPr>
                    <w:pStyle w:val="215"/>
                  </w:pPr>
                  <w:r>
                    <w:rPr>
                      <w:lang w:bidi="ar"/>
                    </w:rPr>
                    <w:t>BS125</w:t>
                  </w:r>
                </w:p>
              </w:tc>
              <w:tc>
                <w:tcPr>
                  <w:tcW w:w="387" w:type="pct"/>
                  <w:noWrap/>
                  <w:vAlign w:val="center"/>
                </w:tcPr>
                <w:p>
                  <w:pPr>
                    <w:pStyle w:val="215"/>
                  </w:pPr>
                  <w:r>
                    <w:rPr>
                      <w:rFonts w:hint="eastAsia"/>
                    </w:rPr>
                    <w:t>1</w:t>
                  </w:r>
                </w:p>
              </w:tc>
              <w:tc>
                <w:tcPr>
                  <w:tcW w:w="683" w:type="pct"/>
                  <w:vMerge w:val="continue"/>
                  <w:vAlign w:val="center"/>
                </w:tcPr>
                <w:p>
                  <w:pPr>
                    <w:pStyle w:val="215"/>
                  </w:pPr>
                </w:p>
              </w:tc>
              <w:tc>
                <w:tcPr>
                  <w:tcW w:w="682" w:type="pct"/>
                  <w:vAlign w:val="center"/>
                </w:tcPr>
                <w:p>
                  <w:pPr>
                    <w:pStyle w:val="215"/>
                  </w:pPr>
                  <w:r>
                    <w:rPr>
                      <w:rFonts w:hint="eastAsia"/>
                    </w:rPr>
                    <w:t>大辊筒高效施胶机</w:t>
                  </w:r>
                </w:p>
              </w:tc>
              <w:tc>
                <w:tcPr>
                  <w:tcW w:w="853" w:type="pct"/>
                  <w:vAlign w:val="center"/>
                </w:tcPr>
                <w:p>
                  <w:pPr>
                    <w:pStyle w:val="215"/>
                  </w:pPr>
                  <w:r>
                    <w:rPr>
                      <w:rFonts w:hint="eastAsia"/>
                      <w:sz w:val="20"/>
                    </w:rPr>
                    <w:t>型号2270</w:t>
                  </w:r>
                </w:p>
              </w:tc>
              <w:tc>
                <w:tcPr>
                  <w:tcW w:w="427" w:type="pct"/>
                  <w:vAlign w:val="center"/>
                </w:tcPr>
                <w:p>
                  <w:pPr>
                    <w:pStyle w:val="215"/>
                  </w:pPr>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00" w:type="pct"/>
                  <w:vAlign w:val="center"/>
                </w:tcPr>
                <w:p>
                  <w:pPr>
                    <w:pStyle w:val="215"/>
                  </w:pPr>
                  <w:r>
                    <w:rPr>
                      <w:rFonts w:hint="eastAsia"/>
                    </w:rPr>
                    <w:t>1</w:t>
                  </w:r>
                  <w:r>
                    <w:t>5</w:t>
                  </w:r>
                </w:p>
              </w:tc>
              <w:tc>
                <w:tcPr>
                  <w:tcW w:w="832" w:type="pct"/>
                  <w:noWrap/>
                  <w:vAlign w:val="center"/>
                </w:tcPr>
                <w:p>
                  <w:pPr>
                    <w:pStyle w:val="215"/>
                  </w:pPr>
                  <w:r>
                    <w:rPr>
                      <w:lang w:bidi="ar"/>
                    </w:rPr>
                    <w:t>钻石辊铺装机</w:t>
                  </w:r>
                </w:p>
              </w:tc>
              <w:tc>
                <w:tcPr>
                  <w:tcW w:w="735" w:type="pct"/>
                  <w:vAlign w:val="center"/>
                </w:tcPr>
                <w:p>
                  <w:pPr>
                    <w:pStyle w:val="215"/>
                  </w:pPr>
                  <w:r>
                    <w:rPr>
                      <w:lang w:bidi="ar"/>
                    </w:rPr>
                    <w:t>BP3113/8C</w:t>
                  </w:r>
                </w:p>
              </w:tc>
              <w:tc>
                <w:tcPr>
                  <w:tcW w:w="387" w:type="pct"/>
                  <w:noWrap/>
                  <w:vAlign w:val="center"/>
                </w:tcPr>
                <w:p>
                  <w:pPr>
                    <w:pStyle w:val="215"/>
                  </w:pPr>
                  <w:r>
                    <w:rPr>
                      <w:rFonts w:hint="eastAsia"/>
                    </w:rPr>
                    <w:t>1</w:t>
                  </w:r>
                </w:p>
              </w:tc>
              <w:tc>
                <w:tcPr>
                  <w:tcW w:w="683" w:type="pct"/>
                  <w:vMerge w:val="continue"/>
                  <w:vAlign w:val="center"/>
                </w:tcPr>
                <w:p>
                  <w:pPr>
                    <w:pStyle w:val="215"/>
                  </w:pPr>
                </w:p>
              </w:tc>
              <w:tc>
                <w:tcPr>
                  <w:tcW w:w="682" w:type="pct"/>
                  <w:vAlign w:val="center"/>
                </w:tcPr>
                <w:p>
                  <w:pPr>
                    <w:pStyle w:val="215"/>
                  </w:pPr>
                  <w:r>
                    <w:rPr>
                      <w:rFonts w:hint="eastAsia"/>
                    </w:rPr>
                    <w:t>专业OBS铺装机</w:t>
                  </w:r>
                </w:p>
              </w:tc>
              <w:tc>
                <w:tcPr>
                  <w:tcW w:w="853" w:type="pct"/>
                  <w:vAlign w:val="center"/>
                </w:tcPr>
                <w:p>
                  <w:pPr>
                    <w:pStyle w:val="215"/>
                  </w:pPr>
                  <w:r>
                    <w:rPr>
                      <w:rFonts w:hint="eastAsia"/>
                      <w:sz w:val="20"/>
                    </w:rPr>
                    <w:t>型号OSF2T</w:t>
                  </w:r>
                </w:p>
              </w:tc>
              <w:tc>
                <w:tcPr>
                  <w:tcW w:w="427" w:type="pct"/>
                  <w:vAlign w:val="center"/>
                </w:tcPr>
                <w:p>
                  <w:pPr>
                    <w:pStyle w:val="215"/>
                  </w:pPr>
                  <w: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00" w:type="pct"/>
                  <w:vAlign w:val="center"/>
                </w:tcPr>
                <w:p>
                  <w:pPr>
                    <w:pStyle w:val="215"/>
                  </w:pPr>
                  <w:r>
                    <w:rPr>
                      <w:rFonts w:hint="eastAsia"/>
                    </w:rPr>
                    <w:t>1</w:t>
                  </w:r>
                  <w:r>
                    <w:t>6</w:t>
                  </w:r>
                </w:p>
              </w:tc>
              <w:tc>
                <w:tcPr>
                  <w:tcW w:w="832" w:type="pct"/>
                  <w:noWrap/>
                  <w:vAlign w:val="center"/>
                </w:tcPr>
                <w:p>
                  <w:pPr>
                    <w:pStyle w:val="215"/>
                  </w:pPr>
                  <w:r>
                    <w:rPr>
                      <w:rFonts w:hint="eastAsia"/>
                    </w:rPr>
                    <w:t>砂光工序设备</w:t>
                  </w:r>
                </w:p>
              </w:tc>
              <w:tc>
                <w:tcPr>
                  <w:tcW w:w="735" w:type="pct"/>
                  <w:vAlign w:val="center"/>
                </w:tcPr>
                <w:p>
                  <w:pPr>
                    <w:pStyle w:val="215"/>
                  </w:pPr>
                  <w:r>
                    <w:rPr>
                      <w:rFonts w:hint="eastAsia"/>
                    </w:rPr>
                    <w:t>/</w:t>
                  </w:r>
                </w:p>
              </w:tc>
              <w:tc>
                <w:tcPr>
                  <w:tcW w:w="387" w:type="pct"/>
                  <w:noWrap/>
                  <w:vAlign w:val="center"/>
                </w:tcPr>
                <w:p>
                  <w:pPr>
                    <w:pStyle w:val="215"/>
                  </w:pPr>
                  <w:r>
                    <w:rPr>
                      <w:rFonts w:hint="eastAsia"/>
                    </w:rPr>
                    <w:t>2</w:t>
                  </w:r>
                  <w:r>
                    <w:t>5</w:t>
                  </w:r>
                </w:p>
              </w:tc>
              <w:tc>
                <w:tcPr>
                  <w:tcW w:w="2646" w:type="pct"/>
                  <w:gridSpan w:val="4"/>
                  <w:vAlign w:val="center"/>
                </w:tcPr>
                <w:p>
                  <w:pPr>
                    <w:pStyle w:val="215"/>
                  </w:pPr>
                  <w:r>
                    <w:rPr>
                      <w:rFonts w:hint="eastAsia"/>
                    </w:rPr>
                    <w:t>停用</w:t>
                  </w:r>
                </w:p>
              </w:tc>
            </w:tr>
          </w:tbl>
          <w:p>
            <w:pPr>
              <w:spacing w:before="120" w:beforeLines="50" w:line="360" w:lineRule="auto"/>
              <w:ind w:firstLine="482" w:firstLineChars="200"/>
              <w:rPr>
                <w:b/>
                <w:bCs/>
                <w:lang w:val="en-GB"/>
              </w:rPr>
            </w:pPr>
            <w:r>
              <w:rPr>
                <w:b/>
                <w:bCs/>
                <w:lang w:val="en-GB"/>
              </w:rPr>
              <w:t>6、主要原辅材料</w:t>
            </w:r>
          </w:p>
          <w:p>
            <w:pPr>
              <w:spacing w:line="360" w:lineRule="auto"/>
              <w:ind w:firstLine="480" w:firstLineChars="200"/>
              <w:rPr>
                <w:lang w:val="en-GB"/>
              </w:rPr>
            </w:pPr>
            <w:r>
              <w:rPr>
                <w:lang w:val="en-GB"/>
              </w:rPr>
              <w:t>拟建项目主要原辅材料及用量见表</w:t>
            </w:r>
            <w:r>
              <w:rPr>
                <w:rFonts w:hint="eastAsia"/>
              </w:rPr>
              <w:t>2-</w:t>
            </w:r>
            <w:r>
              <w:t>6</w:t>
            </w:r>
            <w:r>
              <w:rPr>
                <w:lang w:val="en-GB"/>
              </w:rPr>
              <w:t>。</w:t>
            </w:r>
          </w:p>
          <w:p>
            <w:pPr>
              <w:pStyle w:val="100"/>
            </w:pPr>
            <w:r>
              <w:t>表</w:t>
            </w:r>
            <w:r>
              <w:rPr>
                <w:rFonts w:hint="eastAsia"/>
              </w:rPr>
              <w:t>2-</w:t>
            </w:r>
            <w:r>
              <w:t>6</w:t>
            </w:r>
            <w:r>
              <w:rPr>
                <w:rFonts w:hint="eastAsia"/>
              </w:rPr>
              <w:t xml:space="preserve"> </w:t>
            </w:r>
            <w:r>
              <w:t>主要原辅材料用量</w:t>
            </w:r>
          </w:p>
          <w:tbl>
            <w:tblPr>
              <w:tblStyle w:val="186"/>
              <w:tblW w:w="78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9"/>
              <w:gridCol w:w="2402"/>
              <w:gridCol w:w="1847"/>
              <w:gridCol w:w="23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71" w:type="pct"/>
                  <w:noWrap/>
                  <w:vAlign w:val="center"/>
                </w:tcPr>
                <w:p>
                  <w:pPr>
                    <w:pStyle w:val="215"/>
                    <w:rPr>
                      <w:rFonts w:ascii="Calibri" w:hAnsi="Calibri"/>
                      <w:b/>
                      <w:bCs w:val="0"/>
                    </w:rPr>
                  </w:pPr>
                  <w:bookmarkStart w:id="8" w:name="_Hlk92803575"/>
                  <w:r>
                    <w:rPr>
                      <w:rFonts w:ascii="Calibri" w:hAnsi="Calibri"/>
                      <w:b/>
                      <w:bCs w:val="0"/>
                    </w:rPr>
                    <w:t>序号</w:t>
                  </w:r>
                </w:p>
              </w:tc>
              <w:tc>
                <w:tcPr>
                  <w:tcW w:w="1532" w:type="pct"/>
                  <w:noWrap/>
                  <w:vAlign w:val="center"/>
                </w:tcPr>
                <w:p>
                  <w:pPr>
                    <w:pStyle w:val="215"/>
                    <w:rPr>
                      <w:rFonts w:ascii="Calibri" w:hAnsi="Calibri"/>
                      <w:b/>
                      <w:bCs w:val="0"/>
                    </w:rPr>
                  </w:pPr>
                  <w:r>
                    <w:rPr>
                      <w:rFonts w:ascii="Calibri" w:hAnsi="Calibri"/>
                      <w:b/>
                      <w:bCs w:val="0"/>
                    </w:rPr>
                    <w:t>材料名称</w:t>
                  </w:r>
                </w:p>
              </w:tc>
              <w:tc>
                <w:tcPr>
                  <w:tcW w:w="1178" w:type="pct"/>
                  <w:noWrap/>
                  <w:vAlign w:val="center"/>
                </w:tcPr>
                <w:p>
                  <w:pPr>
                    <w:pStyle w:val="215"/>
                    <w:rPr>
                      <w:rFonts w:ascii="Calibri" w:hAnsi="Calibri"/>
                      <w:b/>
                      <w:bCs w:val="0"/>
                    </w:rPr>
                  </w:pPr>
                  <w:r>
                    <w:rPr>
                      <w:rFonts w:ascii="Calibri" w:hAnsi="Calibri"/>
                      <w:b/>
                      <w:bCs w:val="0"/>
                    </w:rPr>
                    <w:t>全年消耗量</w:t>
                  </w:r>
                </w:p>
              </w:tc>
              <w:tc>
                <w:tcPr>
                  <w:tcW w:w="1519" w:type="pct"/>
                </w:tcPr>
                <w:p>
                  <w:pPr>
                    <w:pStyle w:val="215"/>
                    <w:rPr>
                      <w:rFonts w:ascii="Calibri" w:hAnsi="Calibri"/>
                      <w:b/>
                      <w:bCs w:val="0"/>
                    </w:rPr>
                  </w:pPr>
                  <w:r>
                    <w:rPr>
                      <w:rFonts w:hint="eastAsia" w:ascii="Calibri" w:hAnsi="Calibri"/>
                      <w:b/>
                      <w:bCs w:val="0"/>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 w:hRule="atLeast"/>
              </w:trPr>
              <w:tc>
                <w:tcPr>
                  <w:tcW w:w="771" w:type="pct"/>
                  <w:noWrap/>
                  <w:vAlign w:val="center"/>
                </w:tcPr>
                <w:p>
                  <w:pPr>
                    <w:pStyle w:val="215"/>
                    <w:rPr>
                      <w:rFonts w:ascii="Calibri" w:hAnsi="Calibri"/>
                    </w:rPr>
                  </w:pPr>
                  <w:r>
                    <w:rPr>
                      <w:rFonts w:ascii="Calibri" w:hAnsi="Calibri"/>
                    </w:rPr>
                    <w:t>1</w:t>
                  </w:r>
                </w:p>
              </w:tc>
              <w:tc>
                <w:tcPr>
                  <w:tcW w:w="1532" w:type="pct"/>
                  <w:noWrap/>
                  <w:vAlign w:val="center"/>
                </w:tcPr>
                <w:p>
                  <w:pPr>
                    <w:pStyle w:val="215"/>
                    <w:rPr>
                      <w:rFonts w:ascii="宋体" w:hAnsi="Calibri"/>
                    </w:rPr>
                  </w:pPr>
                  <w:r>
                    <w:rPr>
                      <w:rFonts w:hint="eastAsia" w:ascii="宋体" w:hAnsi="Calibri"/>
                    </w:rPr>
                    <w:t>原生态木</w:t>
                  </w:r>
                </w:p>
              </w:tc>
              <w:tc>
                <w:tcPr>
                  <w:tcW w:w="1178" w:type="pct"/>
                  <w:noWrap/>
                  <w:vAlign w:val="center"/>
                </w:tcPr>
                <w:p>
                  <w:pPr>
                    <w:pStyle w:val="215"/>
                    <w:rPr>
                      <w:rFonts w:ascii="Calibri" w:hAnsi="Calibri"/>
                    </w:rPr>
                  </w:pPr>
                  <w:r>
                    <w:rPr>
                      <w:rFonts w:ascii="Calibri" w:hAnsi="Calibri"/>
                    </w:rPr>
                    <w:t>80000</w:t>
                  </w:r>
                  <w:r>
                    <w:rPr>
                      <w:rFonts w:hint="eastAsia" w:ascii="Calibri" w:hAnsi="Calibri"/>
                    </w:rPr>
                    <w:t>m</w:t>
                  </w:r>
                  <w:r>
                    <w:rPr>
                      <w:rFonts w:ascii="Calibri" w:hAnsi="Calibri"/>
                      <w:vertAlign w:val="superscript"/>
                    </w:rPr>
                    <w:t>3</w:t>
                  </w:r>
                </w:p>
              </w:tc>
              <w:tc>
                <w:tcPr>
                  <w:tcW w:w="1519" w:type="pct"/>
                  <w:vAlign w:val="center"/>
                </w:tcPr>
                <w:p>
                  <w:pPr>
                    <w:pStyle w:val="215"/>
                    <w:rPr>
                      <w:rFonts w:ascii="Calibri" w:hAnsi="Calibri"/>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771" w:type="pct"/>
                  <w:noWrap/>
                  <w:vAlign w:val="center"/>
                </w:tcPr>
                <w:p>
                  <w:pPr>
                    <w:pStyle w:val="215"/>
                    <w:rPr>
                      <w:rFonts w:ascii="Calibri" w:hAnsi="Calibri"/>
                    </w:rPr>
                  </w:pPr>
                  <w:r>
                    <w:rPr>
                      <w:rFonts w:ascii="Calibri" w:hAnsi="Calibri"/>
                    </w:rPr>
                    <w:t>2</w:t>
                  </w:r>
                </w:p>
              </w:tc>
              <w:tc>
                <w:tcPr>
                  <w:tcW w:w="1532" w:type="pct"/>
                  <w:noWrap/>
                  <w:vAlign w:val="center"/>
                </w:tcPr>
                <w:p>
                  <w:pPr>
                    <w:pStyle w:val="215"/>
                    <w:rPr>
                      <w:rFonts w:ascii="宋体" w:hAnsi="Calibri"/>
                    </w:rPr>
                  </w:pPr>
                  <w:r>
                    <w:rPr>
                      <w:rFonts w:hint="eastAsia" w:ascii="宋体" w:hAnsi="Calibri"/>
                    </w:rPr>
                    <w:t>脲醛树脂胶</w:t>
                  </w:r>
                </w:p>
              </w:tc>
              <w:tc>
                <w:tcPr>
                  <w:tcW w:w="1178" w:type="pct"/>
                  <w:noWrap/>
                  <w:vAlign w:val="center"/>
                </w:tcPr>
                <w:p>
                  <w:pPr>
                    <w:pStyle w:val="215"/>
                    <w:rPr>
                      <w:rFonts w:ascii="Calibri" w:hAnsi="Calibri"/>
                    </w:rPr>
                  </w:pPr>
                  <w:r>
                    <w:rPr>
                      <w:rFonts w:hint="eastAsia" w:ascii="Calibri" w:hAnsi="Calibri"/>
                      <w:color w:val="FF0000"/>
                    </w:rPr>
                    <w:t>6749t</w:t>
                  </w:r>
                </w:p>
              </w:tc>
              <w:tc>
                <w:tcPr>
                  <w:tcW w:w="1519" w:type="pct"/>
                  <w:vAlign w:val="center"/>
                </w:tcPr>
                <w:p>
                  <w:pPr>
                    <w:pStyle w:val="215"/>
                    <w:rPr>
                      <w:rFonts w:ascii="Calibri" w:hAnsi="Calibri"/>
                    </w:rPr>
                  </w:pPr>
                  <w:r>
                    <w:rPr>
                      <w:rFonts w:hint="eastAsia" w:ascii="Calibri" w:hAnsi="Calibri"/>
                    </w:rPr>
                    <w:t>厂区生产线提供</w:t>
                  </w:r>
                </w:p>
              </w:tc>
            </w:tr>
            <w:bookmarkEnd w:id="8"/>
          </w:tbl>
          <w:p>
            <w:pPr>
              <w:adjustRightInd w:val="0"/>
              <w:snapToGrid w:val="0"/>
              <w:spacing w:before="120" w:beforeLines="50" w:line="360" w:lineRule="auto"/>
              <w:ind w:firstLine="480" w:firstLineChars="200"/>
            </w:pPr>
            <w:r>
              <w:t>来源：本项目</w:t>
            </w:r>
            <w:r>
              <w:rPr>
                <w:rFonts w:hint="eastAsia"/>
              </w:rPr>
              <w:t>使用</w:t>
            </w:r>
            <w:r>
              <w:t>的</w:t>
            </w:r>
            <w:r>
              <w:rPr>
                <w:rFonts w:hint="eastAsia"/>
              </w:rPr>
              <w:t>脲醛树脂胶由厂区生产线供给。</w:t>
            </w:r>
          </w:p>
          <w:p>
            <w:pPr>
              <w:adjustRightInd w:val="0"/>
              <w:snapToGrid w:val="0"/>
              <w:spacing w:line="360" w:lineRule="auto"/>
              <w:ind w:firstLine="480" w:firstLineChars="200"/>
              <w:rPr>
                <w:color w:val="FF0000"/>
              </w:rPr>
            </w:pPr>
            <w:r>
              <w:rPr>
                <w:rFonts w:hint="eastAsia"/>
                <w:color w:val="FF0000"/>
              </w:rPr>
              <w:t>拟建项目原辅材料变动情况：</w:t>
            </w:r>
          </w:p>
          <w:p>
            <w:pPr>
              <w:pStyle w:val="100"/>
              <w:rPr>
                <w:color w:val="FF0000"/>
              </w:rPr>
            </w:pPr>
            <w:r>
              <w:rPr>
                <w:color w:val="FF0000"/>
              </w:rPr>
              <w:t>表</w:t>
            </w:r>
            <w:r>
              <w:rPr>
                <w:rFonts w:hint="eastAsia"/>
                <w:color w:val="FF0000"/>
              </w:rPr>
              <w:t xml:space="preserve">2-7 </w:t>
            </w:r>
            <w:r>
              <w:rPr>
                <w:color w:val="FF0000"/>
              </w:rPr>
              <w:t>主要原辅材料</w:t>
            </w:r>
            <w:r>
              <w:rPr>
                <w:rFonts w:hint="eastAsia"/>
                <w:color w:val="FF0000"/>
              </w:rPr>
              <w:t>变动情况</w:t>
            </w:r>
          </w:p>
          <w:tbl>
            <w:tblPr>
              <w:tblStyle w:val="185"/>
              <w:tblW w:w="8233"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1447"/>
              <w:gridCol w:w="1843"/>
              <w:gridCol w:w="1571"/>
              <w:gridCol w:w="1293"/>
              <w:gridCol w:w="11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2" w:type="pct"/>
                  <w:vAlign w:val="center"/>
                </w:tcPr>
                <w:p>
                  <w:pPr>
                    <w:pStyle w:val="215"/>
                    <w:rPr>
                      <w:color w:val="FF0000"/>
                    </w:rPr>
                  </w:pPr>
                  <w:r>
                    <w:rPr>
                      <w:rFonts w:hint="eastAsia"/>
                      <w:color w:val="FF0000"/>
                    </w:rPr>
                    <w:t>序号</w:t>
                  </w:r>
                </w:p>
              </w:tc>
              <w:tc>
                <w:tcPr>
                  <w:tcW w:w="879" w:type="pct"/>
                  <w:noWrap/>
                  <w:vAlign w:val="center"/>
                </w:tcPr>
                <w:p>
                  <w:pPr>
                    <w:pStyle w:val="215"/>
                    <w:rPr>
                      <w:rFonts w:ascii="宋体"/>
                      <w:color w:val="FF0000"/>
                    </w:rPr>
                  </w:pPr>
                  <w:r>
                    <w:rPr>
                      <w:rFonts w:hint="eastAsia"/>
                      <w:color w:val="FF0000"/>
                    </w:rPr>
                    <w:t>材料名称</w:t>
                  </w:r>
                </w:p>
              </w:tc>
              <w:tc>
                <w:tcPr>
                  <w:tcW w:w="1119" w:type="pct"/>
                  <w:vAlign w:val="center"/>
                </w:tcPr>
                <w:p>
                  <w:pPr>
                    <w:pStyle w:val="215"/>
                    <w:rPr>
                      <w:color w:val="FF0000"/>
                    </w:rPr>
                  </w:pPr>
                  <w:r>
                    <w:rPr>
                      <w:rFonts w:hint="eastAsia"/>
                      <w:color w:val="FF0000"/>
                    </w:rPr>
                    <w:t>技改后项目用量</w:t>
                  </w:r>
                </w:p>
              </w:tc>
              <w:tc>
                <w:tcPr>
                  <w:tcW w:w="954" w:type="pct"/>
                  <w:vAlign w:val="center"/>
                </w:tcPr>
                <w:p>
                  <w:pPr>
                    <w:pStyle w:val="215"/>
                    <w:rPr>
                      <w:color w:val="FF0000"/>
                    </w:rPr>
                  </w:pPr>
                  <w:r>
                    <w:rPr>
                      <w:rFonts w:hint="eastAsia"/>
                      <w:color w:val="FF0000"/>
                    </w:rPr>
                    <w:t>现有项目用量</w:t>
                  </w:r>
                </w:p>
              </w:tc>
              <w:tc>
                <w:tcPr>
                  <w:tcW w:w="785" w:type="pct"/>
                  <w:vAlign w:val="center"/>
                </w:tcPr>
                <w:p>
                  <w:pPr>
                    <w:pStyle w:val="215"/>
                    <w:rPr>
                      <w:color w:val="FF0000"/>
                    </w:rPr>
                  </w:pPr>
                  <w:r>
                    <w:rPr>
                      <w:rFonts w:hint="eastAsia"/>
                      <w:color w:val="FF0000"/>
                    </w:rPr>
                    <w:t>变动情况</w:t>
                  </w:r>
                </w:p>
              </w:tc>
              <w:tc>
                <w:tcPr>
                  <w:tcW w:w="721" w:type="pct"/>
                  <w:vAlign w:val="center"/>
                </w:tcPr>
                <w:p>
                  <w:pPr>
                    <w:pStyle w:val="215"/>
                    <w:rPr>
                      <w:color w:val="FF0000"/>
                    </w:rPr>
                  </w:pPr>
                  <w:r>
                    <w:rPr>
                      <w:rFonts w:hint="eastAsia"/>
                      <w:color w:val="FF0000"/>
                    </w:rPr>
                    <w:t>生产线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2" w:type="pct"/>
                  <w:vAlign w:val="center"/>
                </w:tcPr>
                <w:p>
                  <w:pPr>
                    <w:pStyle w:val="215"/>
                    <w:rPr>
                      <w:color w:val="FF0000"/>
                    </w:rPr>
                  </w:pPr>
                  <w:r>
                    <w:rPr>
                      <w:color w:val="FF0000"/>
                    </w:rPr>
                    <w:t>1</w:t>
                  </w:r>
                </w:p>
              </w:tc>
              <w:tc>
                <w:tcPr>
                  <w:tcW w:w="879" w:type="pct"/>
                  <w:noWrap/>
                  <w:vAlign w:val="center"/>
                </w:tcPr>
                <w:p>
                  <w:pPr>
                    <w:pStyle w:val="215"/>
                    <w:rPr>
                      <w:color w:val="FF0000"/>
                    </w:rPr>
                  </w:pPr>
                  <w:r>
                    <w:rPr>
                      <w:rFonts w:hint="eastAsia" w:ascii="宋体"/>
                      <w:color w:val="FF0000"/>
                    </w:rPr>
                    <w:t>原生态木</w:t>
                  </w:r>
                </w:p>
              </w:tc>
              <w:tc>
                <w:tcPr>
                  <w:tcW w:w="1119" w:type="pct"/>
                  <w:vAlign w:val="center"/>
                </w:tcPr>
                <w:p>
                  <w:pPr>
                    <w:pStyle w:val="215"/>
                    <w:rPr>
                      <w:color w:val="FF0000"/>
                    </w:rPr>
                  </w:pPr>
                  <w:r>
                    <w:rPr>
                      <w:color w:val="FF0000"/>
                    </w:rPr>
                    <w:t>80000</w:t>
                  </w:r>
                  <w:r>
                    <w:rPr>
                      <w:rFonts w:hint="eastAsia"/>
                      <w:color w:val="FF0000"/>
                    </w:rPr>
                    <w:t>m</w:t>
                  </w:r>
                  <w:r>
                    <w:rPr>
                      <w:color w:val="FF0000"/>
                      <w:vertAlign w:val="superscript"/>
                    </w:rPr>
                    <w:t>3</w:t>
                  </w:r>
                </w:p>
              </w:tc>
              <w:tc>
                <w:tcPr>
                  <w:tcW w:w="954" w:type="pct"/>
                  <w:vAlign w:val="center"/>
                </w:tcPr>
                <w:p>
                  <w:pPr>
                    <w:pStyle w:val="215"/>
                    <w:rPr>
                      <w:color w:val="FF0000"/>
                    </w:rPr>
                  </w:pPr>
                  <w:r>
                    <w:rPr>
                      <w:rFonts w:hint="eastAsia"/>
                      <w:color w:val="FF0000"/>
                    </w:rPr>
                    <w:t>10000 m</w:t>
                  </w:r>
                  <w:r>
                    <w:rPr>
                      <w:color w:val="FF0000"/>
                      <w:vertAlign w:val="superscript"/>
                    </w:rPr>
                    <w:t>3</w:t>
                  </w:r>
                </w:p>
              </w:tc>
              <w:tc>
                <w:tcPr>
                  <w:tcW w:w="785" w:type="pct"/>
                  <w:vAlign w:val="center"/>
                </w:tcPr>
                <w:p>
                  <w:pPr>
                    <w:pStyle w:val="215"/>
                    <w:rPr>
                      <w:color w:val="FF0000"/>
                    </w:rPr>
                  </w:pPr>
                  <w:r>
                    <w:rPr>
                      <w:rFonts w:hint="eastAsia"/>
                      <w:color w:val="FF0000"/>
                    </w:rPr>
                    <w:t>-2000m</w:t>
                  </w:r>
                  <w:r>
                    <w:rPr>
                      <w:rFonts w:hint="eastAsia"/>
                      <w:color w:val="FF0000"/>
                      <w:vertAlign w:val="superscript"/>
                    </w:rPr>
                    <w:t>3</w:t>
                  </w:r>
                </w:p>
              </w:tc>
              <w:tc>
                <w:tcPr>
                  <w:tcW w:w="721" w:type="pct"/>
                  <w:vMerge w:val="restart"/>
                  <w:vAlign w:val="center"/>
                </w:tcPr>
                <w:p>
                  <w:pPr>
                    <w:pStyle w:val="215"/>
                    <w:rPr>
                      <w:color w:val="FF0000"/>
                    </w:rPr>
                  </w:pPr>
                  <w:r>
                    <w:rPr>
                      <w:rFonts w:hint="eastAsia"/>
                      <w:color w:val="FF0000"/>
                    </w:rPr>
                    <w:t>刨花板生产线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2" w:type="pct"/>
                  <w:vAlign w:val="center"/>
                </w:tcPr>
                <w:p>
                  <w:pPr>
                    <w:pStyle w:val="215"/>
                    <w:rPr>
                      <w:color w:val="FF0000"/>
                    </w:rPr>
                  </w:pPr>
                  <w:r>
                    <w:rPr>
                      <w:rFonts w:hint="eastAsia"/>
                      <w:color w:val="FF0000"/>
                    </w:rPr>
                    <w:t>2</w:t>
                  </w:r>
                </w:p>
              </w:tc>
              <w:tc>
                <w:tcPr>
                  <w:tcW w:w="879" w:type="pct"/>
                  <w:noWrap/>
                  <w:vAlign w:val="center"/>
                </w:tcPr>
                <w:p>
                  <w:pPr>
                    <w:pStyle w:val="215"/>
                    <w:rPr>
                      <w:color w:val="FF0000"/>
                    </w:rPr>
                  </w:pPr>
                  <w:r>
                    <w:rPr>
                      <w:rFonts w:hint="eastAsia" w:ascii="宋体"/>
                      <w:color w:val="FF0000"/>
                    </w:rPr>
                    <w:t>脲醛树脂胶</w:t>
                  </w:r>
                </w:p>
              </w:tc>
              <w:tc>
                <w:tcPr>
                  <w:tcW w:w="1119" w:type="pct"/>
                  <w:vAlign w:val="center"/>
                </w:tcPr>
                <w:p>
                  <w:pPr>
                    <w:pStyle w:val="215"/>
                    <w:rPr>
                      <w:color w:val="FF0000"/>
                    </w:rPr>
                  </w:pPr>
                  <w:r>
                    <w:rPr>
                      <w:rFonts w:hint="eastAsia"/>
                      <w:color w:val="FF0000"/>
                    </w:rPr>
                    <w:t>6749t</w:t>
                  </w:r>
                </w:p>
              </w:tc>
              <w:tc>
                <w:tcPr>
                  <w:tcW w:w="954" w:type="pct"/>
                  <w:vAlign w:val="center"/>
                </w:tcPr>
                <w:p>
                  <w:pPr>
                    <w:pStyle w:val="215"/>
                    <w:rPr>
                      <w:color w:val="FF0000"/>
                    </w:rPr>
                  </w:pPr>
                  <w:r>
                    <w:rPr>
                      <w:rFonts w:hint="eastAsia"/>
                      <w:color w:val="FF0000"/>
                    </w:rPr>
                    <w:t>7679</w:t>
                  </w:r>
                </w:p>
              </w:tc>
              <w:tc>
                <w:tcPr>
                  <w:tcW w:w="785" w:type="pct"/>
                  <w:vAlign w:val="center"/>
                </w:tcPr>
                <w:p>
                  <w:pPr>
                    <w:pStyle w:val="215"/>
                    <w:rPr>
                      <w:color w:val="FF0000"/>
                    </w:rPr>
                  </w:pPr>
                  <w:r>
                    <w:rPr>
                      <w:rFonts w:hint="eastAsia"/>
                      <w:color w:val="FF0000"/>
                    </w:rPr>
                    <w:t>-930m</w:t>
                  </w:r>
                  <w:r>
                    <w:rPr>
                      <w:rFonts w:hint="eastAsia"/>
                      <w:color w:val="FF0000"/>
                      <w:vertAlign w:val="superscript"/>
                    </w:rPr>
                    <w:t>3</w:t>
                  </w:r>
                </w:p>
              </w:tc>
              <w:tc>
                <w:tcPr>
                  <w:tcW w:w="721" w:type="pct"/>
                  <w:vMerge w:val="continue"/>
                  <w:vAlign w:val="center"/>
                </w:tcPr>
                <w:p>
                  <w:pPr>
                    <w:pStyle w:val="215"/>
                    <w:rPr>
                      <w:color w:val="FF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2" w:type="pct"/>
                  <w:vAlign w:val="center"/>
                </w:tcPr>
                <w:p>
                  <w:pPr>
                    <w:pStyle w:val="215"/>
                    <w:rPr>
                      <w:color w:val="FF0000"/>
                    </w:rPr>
                  </w:pPr>
                  <w:r>
                    <w:rPr>
                      <w:rFonts w:hint="eastAsia"/>
                      <w:color w:val="FF0000"/>
                    </w:rPr>
                    <w:t>3</w:t>
                  </w:r>
                </w:p>
              </w:tc>
              <w:tc>
                <w:tcPr>
                  <w:tcW w:w="879" w:type="pct"/>
                  <w:noWrap/>
                  <w:vAlign w:val="center"/>
                </w:tcPr>
                <w:p>
                  <w:pPr>
                    <w:pStyle w:val="215"/>
                    <w:rPr>
                      <w:color w:val="FF0000"/>
                    </w:rPr>
                  </w:pPr>
                  <w:r>
                    <w:rPr>
                      <w:rFonts w:hint="eastAsia" w:ascii="宋体"/>
                      <w:color w:val="FF0000"/>
                      <w:sz w:val="20"/>
                    </w:rPr>
                    <w:t>天然气</w:t>
                  </w:r>
                </w:p>
              </w:tc>
              <w:tc>
                <w:tcPr>
                  <w:tcW w:w="1119" w:type="pct"/>
                  <w:vAlign w:val="center"/>
                </w:tcPr>
                <w:p>
                  <w:pPr>
                    <w:pStyle w:val="215"/>
                    <w:rPr>
                      <w:color w:val="FF0000"/>
                    </w:rPr>
                  </w:pPr>
                  <w:r>
                    <w:rPr>
                      <w:color w:val="FF0000"/>
                    </w:rPr>
                    <w:t>922500</w:t>
                  </w:r>
                  <w:r>
                    <w:rPr>
                      <w:rFonts w:hint="eastAsia"/>
                      <w:color w:val="FF0000"/>
                    </w:rPr>
                    <w:t>m</w:t>
                  </w:r>
                  <w:r>
                    <w:rPr>
                      <w:color w:val="FF0000"/>
                      <w:vertAlign w:val="superscript"/>
                    </w:rPr>
                    <w:t>3</w:t>
                  </w:r>
                </w:p>
              </w:tc>
              <w:tc>
                <w:tcPr>
                  <w:tcW w:w="954" w:type="pct"/>
                  <w:vAlign w:val="center"/>
                </w:tcPr>
                <w:p>
                  <w:pPr>
                    <w:pStyle w:val="215"/>
                    <w:rPr>
                      <w:color w:val="FF0000"/>
                    </w:rPr>
                  </w:pPr>
                  <w:r>
                    <w:rPr>
                      <w:color w:val="FF0000"/>
                    </w:rPr>
                    <w:t>922500</w:t>
                  </w:r>
                  <w:r>
                    <w:rPr>
                      <w:rFonts w:hint="eastAsia"/>
                      <w:color w:val="FF0000"/>
                    </w:rPr>
                    <w:t xml:space="preserve"> m</w:t>
                  </w:r>
                  <w:r>
                    <w:rPr>
                      <w:color w:val="FF0000"/>
                      <w:vertAlign w:val="superscript"/>
                    </w:rPr>
                    <w:t>3</w:t>
                  </w:r>
                </w:p>
              </w:tc>
              <w:tc>
                <w:tcPr>
                  <w:tcW w:w="785" w:type="pct"/>
                  <w:vAlign w:val="center"/>
                </w:tcPr>
                <w:p>
                  <w:pPr>
                    <w:pStyle w:val="215"/>
                    <w:rPr>
                      <w:color w:val="FF0000"/>
                    </w:rPr>
                  </w:pPr>
                  <w:r>
                    <w:rPr>
                      <w:rFonts w:hint="eastAsia"/>
                      <w:color w:val="FF0000"/>
                    </w:rPr>
                    <w:t>无变动</w:t>
                  </w:r>
                </w:p>
              </w:tc>
              <w:tc>
                <w:tcPr>
                  <w:tcW w:w="721" w:type="pct"/>
                  <w:vMerge w:val="continue"/>
                  <w:vAlign w:val="center"/>
                </w:tcPr>
                <w:p>
                  <w:pPr>
                    <w:pStyle w:val="215"/>
                    <w:rPr>
                      <w:color w:val="FF000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542" w:type="pct"/>
                  <w:vAlign w:val="center"/>
                </w:tcPr>
                <w:p>
                  <w:pPr>
                    <w:pStyle w:val="215"/>
                    <w:rPr>
                      <w:color w:val="FF0000"/>
                    </w:rPr>
                  </w:pPr>
                  <w:r>
                    <w:rPr>
                      <w:rFonts w:hint="eastAsia"/>
                      <w:color w:val="FF0000"/>
                    </w:rPr>
                    <w:t>4</w:t>
                  </w:r>
                </w:p>
              </w:tc>
              <w:tc>
                <w:tcPr>
                  <w:tcW w:w="879" w:type="pct"/>
                  <w:noWrap/>
                  <w:vAlign w:val="center"/>
                </w:tcPr>
                <w:p>
                  <w:pPr>
                    <w:pStyle w:val="215"/>
                    <w:rPr>
                      <w:color w:val="FF0000"/>
                    </w:rPr>
                  </w:pPr>
                  <w:r>
                    <w:rPr>
                      <w:rFonts w:hint="eastAsia" w:ascii="宋体"/>
                      <w:color w:val="FF0000"/>
                      <w:sz w:val="20"/>
                    </w:rPr>
                    <w:t>导热油</w:t>
                  </w:r>
                </w:p>
              </w:tc>
              <w:tc>
                <w:tcPr>
                  <w:tcW w:w="1119" w:type="pct"/>
                  <w:vAlign w:val="center"/>
                </w:tcPr>
                <w:p>
                  <w:pPr>
                    <w:pStyle w:val="215"/>
                    <w:rPr>
                      <w:color w:val="FF0000"/>
                    </w:rPr>
                  </w:pPr>
                  <w:r>
                    <w:rPr>
                      <w:color w:val="FF0000"/>
                    </w:rPr>
                    <w:t>2</w:t>
                  </w:r>
                  <w:r>
                    <w:rPr>
                      <w:rFonts w:hint="eastAsia"/>
                      <w:color w:val="FF0000"/>
                    </w:rPr>
                    <w:t>.</w:t>
                  </w:r>
                  <w:r>
                    <w:rPr>
                      <w:color w:val="FF0000"/>
                    </w:rPr>
                    <w:t>5</w:t>
                  </w:r>
                  <w:r>
                    <w:rPr>
                      <w:rFonts w:hint="eastAsia"/>
                      <w:color w:val="FF0000"/>
                    </w:rPr>
                    <w:t>t</w:t>
                  </w:r>
                </w:p>
              </w:tc>
              <w:tc>
                <w:tcPr>
                  <w:tcW w:w="954" w:type="pct"/>
                  <w:vAlign w:val="center"/>
                </w:tcPr>
                <w:p>
                  <w:pPr>
                    <w:pStyle w:val="215"/>
                    <w:rPr>
                      <w:color w:val="FF0000"/>
                    </w:rPr>
                  </w:pPr>
                  <w:r>
                    <w:rPr>
                      <w:color w:val="FF0000"/>
                    </w:rPr>
                    <w:t>2</w:t>
                  </w:r>
                  <w:r>
                    <w:rPr>
                      <w:rFonts w:hint="eastAsia"/>
                      <w:color w:val="FF0000"/>
                    </w:rPr>
                    <w:t>.</w:t>
                  </w:r>
                  <w:r>
                    <w:rPr>
                      <w:color w:val="FF0000"/>
                    </w:rPr>
                    <w:t>5</w:t>
                  </w:r>
                  <w:r>
                    <w:rPr>
                      <w:rFonts w:hint="eastAsia"/>
                      <w:color w:val="FF0000"/>
                    </w:rPr>
                    <w:t>t</w:t>
                  </w:r>
                </w:p>
              </w:tc>
              <w:tc>
                <w:tcPr>
                  <w:tcW w:w="785" w:type="pct"/>
                  <w:vAlign w:val="center"/>
                </w:tcPr>
                <w:p>
                  <w:pPr>
                    <w:pStyle w:val="215"/>
                    <w:rPr>
                      <w:color w:val="FF0000"/>
                    </w:rPr>
                  </w:pPr>
                  <w:r>
                    <w:rPr>
                      <w:rFonts w:hint="eastAsia"/>
                      <w:color w:val="FF0000"/>
                    </w:rPr>
                    <w:t>无变动</w:t>
                  </w:r>
                </w:p>
              </w:tc>
              <w:tc>
                <w:tcPr>
                  <w:tcW w:w="721" w:type="pct"/>
                  <w:vMerge w:val="continue"/>
                  <w:vAlign w:val="center"/>
                </w:tcPr>
                <w:p>
                  <w:pPr>
                    <w:pStyle w:val="215"/>
                    <w:rPr>
                      <w:color w:val="FF0000"/>
                    </w:rPr>
                  </w:pPr>
                </w:p>
              </w:tc>
            </w:tr>
          </w:tbl>
          <w:p>
            <w:pPr>
              <w:adjustRightInd w:val="0"/>
              <w:snapToGrid w:val="0"/>
              <w:spacing w:line="360" w:lineRule="auto"/>
              <w:ind w:firstLine="482" w:firstLineChars="200"/>
              <w:rPr>
                <w:b/>
              </w:rPr>
            </w:pPr>
            <w:r>
              <w:rPr>
                <w:rFonts w:hint="eastAsia"/>
                <w:b/>
              </w:rPr>
              <w:t>原辅材料理化性质：</w:t>
            </w:r>
          </w:p>
          <w:p>
            <w:pPr>
              <w:spacing w:line="360" w:lineRule="auto"/>
              <w:ind w:firstLine="482" w:firstLineChars="200"/>
            </w:pPr>
            <w:r>
              <w:rPr>
                <w:rFonts w:hint="eastAsia"/>
                <w:b/>
              </w:rPr>
              <w:t>（1）脲醛树脂胶</w:t>
            </w:r>
          </w:p>
          <w:p>
            <w:pPr>
              <w:spacing w:line="360" w:lineRule="auto"/>
              <w:ind w:firstLine="480" w:firstLineChars="200"/>
            </w:pPr>
            <w:r>
              <w:rPr>
                <w:rFonts w:hint="eastAsia"/>
              </w:rPr>
              <w:t>无色透明粘液，以甲醛和尿素为主要原料，粘度0.25~0.4Pa.s，易固化，耐弱酸弱碱及油脂。本项目所用脲醛胶性能达到《木材工业胶粘剂用脲醛、酚醛、三聚氰胺甲醛树脂》（GB/T 14732-2017）中脲醛树脂质量指标，游离甲醛含量须≤0.3%。</w:t>
            </w:r>
          </w:p>
          <w:p>
            <w:pPr>
              <w:snapToGrid w:val="0"/>
              <w:spacing w:line="360" w:lineRule="auto"/>
              <w:ind w:firstLine="422" w:firstLineChars="200"/>
              <w:jc w:val="center"/>
              <w:rPr>
                <w:b/>
                <w:bCs/>
                <w:sz w:val="21"/>
                <w:szCs w:val="21"/>
              </w:rPr>
            </w:pPr>
            <w:r>
              <w:rPr>
                <w:rFonts w:hint="eastAsia"/>
                <w:b/>
                <w:bCs/>
                <w:sz w:val="21"/>
                <w:szCs w:val="21"/>
              </w:rPr>
              <w:t>表</w:t>
            </w:r>
            <w:r>
              <w:rPr>
                <w:b/>
                <w:bCs/>
                <w:sz w:val="21"/>
                <w:szCs w:val="21"/>
              </w:rPr>
              <w:t>2</w:t>
            </w:r>
            <w:r>
              <w:rPr>
                <w:rFonts w:hint="eastAsia"/>
                <w:b/>
                <w:bCs/>
                <w:sz w:val="21"/>
                <w:szCs w:val="21"/>
              </w:rPr>
              <w:t>-</w:t>
            </w:r>
            <w:r>
              <w:rPr>
                <w:b/>
                <w:bCs/>
                <w:sz w:val="21"/>
                <w:szCs w:val="21"/>
              </w:rPr>
              <w:t>7</w:t>
            </w:r>
            <w:r>
              <w:rPr>
                <w:rFonts w:hint="eastAsia"/>
                <w:b/>
                <w:bCs/>
                <w:sz w:val="21"/>
                <w:szCs w:val="21"/>
              </w:rPr>
              <w:t xml:space="preserve">   脲醛树脂胶质量指标一览表</w:t>
            </w:r>
          </w:p>
          <w:tbl>
            <w:tblPr>
              <w:tblStyle w:val="51"/>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99"/>
              <w:gridCol w:w="2800"/>
              <w:gridCol w:w="28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799" w:type="dxa"/>
                </w:tcPr>
                <w:p>
                  <w:pPr>
                    <w:pStyle w:val="178"/>
                    <w:rPr>
                      <w:color w:val="auto"/>
                    </w:rPr>
                  </w:pPr>
                  <w:r>
                    <w:rPr>
                      <w:rFonts w:hint="eastAsia"/>
                      <w:color w:val="auto"/>
                    </w:rPr>
                    <w:t>性质</w:t>
                  </w:r>
                </w:p>
              </w:tc>
              <w:tc>
                <w:tcPr>
                  <w:tcW w:w="2800" w:type="dxa"/>
                </w:tcPr>
                <w:p>
                  <w:pPr>
                    <w:pStyle w:val="178"/>
                    <w:rPr>
                      <w:color w:val="auto"/>
                    </w:rPr>
                  </w:pPr>
                  <w:r>
                    <w:rPr>
                      <w:rFonts w:hint="eastAsia"/>
                      <w:color w:val="auto"/>
                    </w:rPr>
                    <w:t>数值</w:t>
                  </w:r>
                </w:p>
              </w:tc>
              <w:tc>
                <w:tcPr>
                  <w:tcW w:w="2800" w:type="dxa"/>
                </w:tcPr>
                <w:p>
                  <w:pPr>
                    <w:pStyle w:val="178"/>
                    <w:rPr>
                      <w:color w:val="auto"/>
                    </w:rPr>
                  </w:pPr>
                  <w:r>
                    <w:rPr>
                      <w:rFonts w:hint="eastAsia"/>
                      <w:color w:val="auto"/>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799" w:type="dxa"/>
                </w:tcPr>
                <w:p>
                  <w:pPr>
                    <w:pStyle w:val="178"/>
                    <w:rPr>
                      <w:color w:val="auto"/>
                    </w:rPr>
                  </w:pPr>
                  <w:r>
                    <w:rPr>
                      <w:rFonts w:hint="eastAsia"/>
                      <w:color w:val="auto"/>
                    </w:rPr>
                    <w:t>外观</w:t>
                  </w:r>
                </w:p>
              </w:tc>
              <w:tc>
                <w:tcPr>
                  <w:tcW w:w="2800" w:type="dxa"/>
                </w:tcPr>
                <w:p>
                  <w:pPr>
                    <w:pStyle w:val="178"/>
                    <w:rPr>
                      <w:color w:val="auto"/>
                    </w:rPr>
                  </w:pPr>
                  <w:r>
                    <w:rPr>
                      <w:rFonts w:hint="eastAsia"/>
                      <w:color w:val="auto"/>
                    </w:rPr>
                    <w:t>透明或乳白色液体</w:t>
                  </w:r>
                </w:p>
              </w:tc>
              <w:tc>
                <w:tcPr>
                  <w:tcW w:w="2800" w:type="dxa"/>
                </w:tcPr>
                <w:p>
                  <w:pPr>
                    <w:pStyle w:val="178"/>
                    <w:rPr>
                      <w:color w:val="auto"/>
                    </w:rPr>
                  </w:pPr>
                  <w:r>
                    <w:rPr>
                      <w:rFonts w:hint="eastAsia"/>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799" w:type="dxa"/>
                </w:tcPr>
                <w:p>
                  <w:pPr>
                    <w:pStyle w:val="178"/>
                    <w:rPr>
                      <w:color w:val="auto"/>
                    </w:rPr>
                  </w:pPr>
                  <w:r>
                    <w:rPr>
                      <w:rFonts w:hint="eastAsia"/>
                      <w:color w:val="auto"/>
                    </w:rPr>
                    <w:t>摩尔比U/F</w:t>
                  </w:r>
                </w:p>
              </w:tc>
              <w:tc>
                <w:tcPr>
                  <w:tcW w:w="2800" w:type="dxa"/>
                </w:tcPr>
                <w:p>
                  <w:pPr>
                    <w:pStyle w:val="178"/>
                    <w:rPr>
                      <w:color w:val="auto"/>
                    </w:rPr>
                  </w:pPr>
                  <w:r>
                    <w:rPr>
                      <w:rFonts w:hint="eastAsia"/>
                      <w:color w:val="auto"/>
                    </w:rPr>
                    <w:t>1:1.3-1.4</w:t>
                  </w:r>
                </w:p>
              </w:tc>
              <w:tc>
                <w:tcPr>
                  <w:tcW w:w="2800" w:type="dxa"/>
                </w:tcPr>
                <w:p>
                  <w:pPr>
                    <w:pStyle w:val="178"/>
                    <w:rPr>
                      <w:color w:val="auto"/>
                    </w:rPr>
                  </w:pPr>
                  <w:r>
                    <w:rPr>
                      <w:rFonts w:hint="eastAsia"/>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2799" w:type="dxa"/>
                </w:tcPr>
                <w:p>
                  <w:pPr>
                    <w:pStyle w:val="178"/>
                    <w:rPr>
                      <w:color w:val="auto"/>
                    </w:rPr>
                  </w:pPr>
                  <w:r>
                    <w:rPr>
                      <w:rFonts w:hint="eastAsia"/>
                      <w:color w:val="auto"/>
                    </w:rPr>
                    <w:t>树脂含量</w:t>
                  </w:r>
                </w:p>
              </w:tc>
              <w:tc>
                <w:tcPr>
                  <w:tcW w:w="2800" w:type="dxa"/>
                </w:tcPr>
                <w:p>
                  <w:pPr>
                    <w:pStyle w:val="178"/>
                    <w:rPr>
                      <w:color w:val="auto"/>
                    </w:rPr>
                  </w:pPr>
                  <w:r>
                    <w:rPr>
                      <w:color w:val="auto"/>
                    </w:rPr>
                    <w:t>52</w:t>
                  </w:r>
                  <m:oMath>
                    <m:r>
                      <m:rPr/>
                      <w:rPr>
                        <w:rFonts w:ascii="Cambria Math" w:hAnsi="Cambria Math"/>
                        <w:color w:val="auto"/>
                      </w:rPr>
                      <m:t>±2</m:t>
                    </m:r>
                  </m:oMath>
                  <w:r>
                    <w:rPr>
                      <w:rFonts w:hint="eastAsia"/>
                      <w:color w:val="auto"/>
                    </w:rPr>
                    <w:t>%</w:t>
                  </w:r>
                </w:p>
              </w:tc>
              <w:tc>
                <w:tcPr>
                  <w:tcW w:w="2800" w:type="dxa"/>
                </w:tcPr>
                <w:p>
                  <w:pPr>
                    <w:pStyle w:val="178"/>
                    <w:rPr>
                      <w:color w:val="auto"/>
                    </w:rPr>
                  </w:pPr>
                  <w:r>
                    <w:rPr>
                      <w:rFonts w:hint="eastAsia"/>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9" w:type="dxa"/>
                </w:tcPr>
                <w:p>
                  <w:pPr>
                    <w:pStyle w:val="178"/>
                    <w:rPr>
                      <w:color w:val="auto"/>
                    </w:rPr>
                  </w:pPr>
                  <w:r>
                    <w:rPr>
                      <w:rFonts w:hint="eastAsia"/>
                      <w:color w:val="auto"/>
                    </w:rPr>
                    <w:t>pH值（20℃）</w:t>
                  </w:r>
                </w:p>
              </w:tc>
              <w:tc>
                <w:tcPr>
                  <w:tcW w:w="2800" w:type="dxa"/>
                </w:tcPr>
                <w:p>
                  <w:pPr>
                    <w:pStyle w:val="178"/>
                    <w:rPr>
                      <w:color w:val="auto"/>
                    </w:rPr>
                  </w:pPr>
                  <w:r>
                    <w:rPr>
                      <w:color w:val="auto"/>
                    </w:rPr>
                    <w:t>7</w:t>
                  </w:r>
                  <w:r>
                    <w:rPr>
                      <w:rFonts w:hint="eastAsia"/>
                      <w:color w:val="auto"/>
                    </w:rPr>
                    <w:t>.</w:t>
                  </w:r>
                  <w:r>
                    <w:rPr>
                      <w:color w:val="auto"/>
                    </w:rPr>
                    <w:t>0</w:t>
                  </w:r>
                  <w:r>
                    <w:rPr>
                      <w:rFonts w:hint="eastAsia"/>
                      <w:color w:val="auto"/>
                    </w:rPr>
                    <w:t>-</w:t>
                  </w:r>
                  <w:r>
                    <w:rPr>
                      <w:color w:val="auto"/>
                    </w:rPr>
                    <w:t>8</w:t>
                  </w:r>
                  <w:r>
                    <w:rPr>
                      <w:rFonts w:hint="eastAsia"/>
                      <w:color w:val="auto"/>
                    </w:rPr>
                    <w:t>.</w:t>
                  </w:r>
                  <w:r>
                    <w:rPr>
                      <w:color w:val="auto"/>
                    </w:rPr>
                    <w:t>0</w:t>
                  </w:r>
                </w:p>
              </w:tc>
              <w:tc>
                <w:tcPr>
                  <w:tcW w:w="2800" w:type="dxa"/>
                </w:tcPr>
                <w:p>
                  <w:pPr>
                    <w:pStyle w:val="178"/>
                    <w:rPr>
                      <w:color w:val="auto"/>
                    </w:rPr>
                  </w:pPr>
                  <w:r>
                    <w:rPr>
                      <w:rFonts w:hint="eastAsia"/>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9" w:type="dxa"/>
                </w:tcPr>
                <w:p>
                  <w:pPr>
                    <w:pStyle w:val="178"/>
                    <w:rPr>
                      <w:color w:val="auto"/>
                    </w:rPr>
                  </w:pPr>
                  <w:r>
                    <w:rPr>
                      <w:rFonts w:hint="eastAsia"/>
                      <w:color w:val="auto"/>
                    </w:rPr>
                    <w:t>比重（20℃）</w:t>
                  </w:r>
                </w:p>
              </w:tc>
              <w:tc>
                <w:tcPr>
                  <w:tcW w:w="2800" w:type="dxa"/>
                </w:tcPr>
                <w:p>
                  <w:pPr>
                    <w:pStyle w:val="178"/>
                    <w:rPr>
                      <w:color w:val="auto"/>
                    </w:rPr>
                  </w:pPr>
                  <w:r>
                    <w:rPr>
                      <w:rFonts w:hint="eastAsia"/>
                      <w:color w:val="auto"/>
                    </w:rPr>
                    <w:t>1.18-1.20</w:t>
                  </w:r>
                </w:p>
              </w:tc>
              <w:tc>
                <w:tcPr>
                  <w:tcW w:w="2800" w:type="dxa"/>
                </w:tcPr>
                <w:p>
                  <w:pPr>
                    <w:pStyle w:val="178"/>
                    <w:rPr>
                      <w:color w:val="auto"/>
                    </w:rPr>
                  </w:pPr>
                  <w:r>
                    <w:rPr>
                      <w:rFonts w:hint="eastAsia"/>
                      <w:color w:val="auto"/>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9" w:type="dxa"/>
                </w:tcPr>
                <w:p>
                  <w:pPr>
                    <w:pStyle w:val="178"/>
                    <w:rPr>
                      <w:color w:val="auto"/>
                    </w:rPr>
                  </w:pPr>
                  <w:r>
                    <w:rPr>
                      <w:rFonts w:hint="eastAsia"/>
                      <w:color w:val="auto"/>
                    </w:rPr>
                    <w:t>游离甲醛含量</w:t>
                  </w:r>
                </w:p>
              </w:tc>
              <w:tc>
                <w:tcPr>
                  <w:tcW w:w="2800" w:type="dxa"/>
                </w:tcPr>
                <w:p>
                  <w:pPr>
                    <w:pStyle w:val="178"/>
                    <w:rPr>
                      <w:color w:val="auto"/>
                    </w:rPr>
                  </w:pPr>
                  <w:r>
                    <w:rPr>
                      <w:rFonts w:hint="eastAsia"/>
                      <w:color w:val="auto"/>
                    </w:rPr>
                    <w:t>≤0.</w:t>
                  </w:r>
                  <w:r>
                    <w:rPr>
                      <w:color w:val="auto"/>
                    </w:rPr>
                    <w:t>15</w:t>
                  </w:r>
                  <w:r>
                    <w:rPr>
                      <w:rFonts w:hint="eastAsia"/>
                      <w:color w:val="auto"/>
                    </w:rPr>
                    <w:t>%</w:t>
                  </w:r>
                </w:p>
              </w:tc>
              <w:tc>
                <w:tcPr>
                  <w:tcW w:w="2800" w:type="dxa"/>
                </w:tcPr>
                <w:p>
                  <w:pPr>
                    <w:pStyle w:val="178"/>
                    <w:rPr>
                      <w:color w:val="auto"/>
                    </w:rPr>
                  </w:pPr>
                  <w:r>
                    <w:rPr>
                      <w:rFonts w:hint="eastAsia"/>
                      <w:color w:val="auto"/>
                    </w:rPr>
                    <w:t>胶合板用脲醛树脂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99" w:type="dxa"/>
                </w:tcPr>
                <w:p>
                  <w:pPr>
                    <w:pStyle w:val="178"/>
                    <w:rPr>
                      <w:color w:val="auto"/>
                    </w:rPr>
                  </w:pPr>
                  <w:r>
                    <w:rPr>
                      <w:rFonts w:hint="eastAsia"/>
                      <w:color w:val="auto"/>
                    </w:rPr>
                    <w:t>水溶性（2</w:t>
                  </w:r>
                  <w:r>
                    <w:rPr>
                      <w:color w:val="auto"/>
                    </w:rPr>
                    <w:t>5</w:t>
                  </w:r>
                  <w:r>
                    <w:rPr>
                      <w:rFonts w:hint="eastAsia"/>
                      <w:color w:val="auto"/>
                    </w:rPr>
                    <w:t>℃）</w:t>
                  </w:r>
                </w:p>
              </w:tc>
              <w:tc>
                <w:tcPr>
                  <w:tcW w:w="2800" w:type="dxa"/>
                </w:tcPr>
                <w:p>
                  <w:pPr>
                    <w:pStyle w:val="178"/>
                    <w:rPr>
                      <w:color w:val="auto"/>
                    </w:rPr>
                  </w:pPr>
                  <w:r>
                    <w:rPr>
                      <w:rFonts w:hint="eastAsia"/>
                      <w:color w:val="auto"/>
                    </w:rPr>
                    <w:t>≥</w:t>
                  </w:r>
                  <w:r>
                    <w:rPr>
                      <w:color w:val="auto"/>
                    </w:rPr>
                    <w:t>0</w:t>
                  </w:r>
                  <w:r>
                    <w:rPr>
                      <w:rFonts w:hint="eastAsia"/>
                      <w:color w:val="auto"/>
                    </w:rPr>
                    <w:t>.</w:t>
                  </w:r>
                  <w:r>
                    <w:rPr>
                      <w:color w:val="auto"/>
                    </w:rPr>
                    <w:t>8</w:t>
                  </w:r>
                  <w:r>
                    <w:rPr>
                      <w:rFonts w:hint="eastAsia"/>
                      <w:color w:val="auto"/>
                    </w:rPr>
                    <w:t>倍</w:t>
                  </w:r>
                </w:p>
              </w:tc>
              <w:tc>
                <w:tcPr>
                  <w:tcW w:w="2800" w:type="dxa"/>
                </w:tcPr>
                <w:p>
                  <w:pPr>
                    <w:pStyle w:val="178"/>
                    <w:rPr>
                      <w:color w:val="auto"/>
                    </w:rPr>
                  </w:pPr>
                  <w:r>
                    <w:rPr>
                      <w:rFonts w:hint="eastAsia"/>
                      <w:color w:val="auto"/>
                    </w:rPr>
                    <w:t>/</w:t>
                  </w:r>
                </w:p>
              </w:tc>
            </w:tr>
          </w:tbl>
          <w:p>
            <w:pPr>
              <w:adjustRightInd w:val="0"/>
              <w:snapToGrid w:val="0"/>
              <w:spacing w:before="120" w:beforeLines="50" w:line="360" w:lineRule="auto"/>
              <w:ind w:firstLine="482" w:firstLineChars="200"/>
              <w:rPr>
                <w:b/>
                <w:bCs/>
                <w:lang w:val="en-GB"/>
              </w:rPr>
            </w:pPr>
            <w:r>
              <w:rPr>
                <w:b/>
                <w:bCs/>
                <w:lang w:val="en-GB"/>
              </w:rPr>
              <w:t>7、项目总平面布置</w:t>
            </w:r>
          </w:p>
          <w:p>
            <w:pPr>
              <w:spacing w:line="360" w:lineRule="auto"/>
              <w:ind w:firstLine="480" w:firstLineChars="200"/>
              <w:rPr>
                <w:lang w:val="en-GB"/>
              </w:rPr>
            </w:pPr>
            <w:r>
              <w:rPr>
                <w:rFonts w:hint="eastAsia"/>
                <w:lang w:val="en-GB"/>
              </w:rPr>
              <w:t>（1）平面布置方案</w:t>
            </w:r>
          </w:p>
          <w:p>
            <w:pPr>
              <w:spacing w:line="360" w:lineRule="auto"/>
              <w:ind w:firstLine="480" w:firstLineChars="200"/>
              <w:rPr>
                <w:lang w:val="en-GB"/>
              </w:rPr>
            </w:pPr>
            <w:r>
              <w:rPr>
                <w:rFonts w:hint="eastAsia"/>
                <w:lang w:val="en-GB"/>
              </w:rPr>
              <w:t>项目根据项目的地理位置特点和地形地势以及气象条件等情况对厂区建筑物进行了较为合理的分布。本项目为技术改造项目，不改变厂区现有布局。</w:t>
            </w:r>
          </w:p>
          <w:p>
            <w:pPr>
              <w:spacing w:line="360" w:lineRule="auto"/>
              <w:ind w:firstLine="480" w:firstLineChars="200"/>
              <w:rPr>
                <w:lang w:val="en-GB"/>
              </w:rPr>
            </w:pPr>
            <w:r>
              <w:rPr>
                <w:rFonts w:hint="eastAsia"/>
                <w:lang w:val="en-GB"/>
              </w:rPr>
              <w:t>该企业北侧和南侧各设置进出口1个，人流、物流分开设置。北侧主要为人流出入口；南侧主要为物流出入口。厂区主要分为办公生活区、生产区和原材料堆场三大部分组成：办公生活区主要由办公楼、宿舍、餐厅、浴室和绿化区域组成，位于厂区东北侧；生产区由制胶车间、施胶车间、主生产车间、锅炉房、库房等组成，位于厂区西侧；原材料堆场位于厂区的东南部。厂区道路采用混凝土路面，主要通道宽6m，辅道为4m；消防通道呈环形布置，车间与仓库之间布置回车场地，回车半径约12m。</w:t>
            </w:r>
          </w:p>
          <w:p>
            <w:pPr>
              <w:spacing w:line="360" w:lineRule="auto"/>
              <w:ind w:firstLine="480" w:firstLineChars="200"/>
              <w:rPr>
                <w:lang w:val="en-GB"/>
              </w:rPr>
            </w:pPr>
            <w:r>
              <w:rPr>
                <w:rFonts w:hint="eastAsia"/>
                <w:lang w:val="en-GB"/>
              </w:rPr>
              <w:t>（2）平面布置合理性分析</w:t>
            </w:r>
          </w:p>
          <w:p>
            <w:pPr>
              <w:spacing w:line="360" w:lineRule="auto"/>
              <w:ind w:firstLine="480" w:firstLineChars="200"/>
              <w:rPr>
                <w:lang w:val="en-GB"/>
              </w:rPr>
            </w:pPr>
            <w:r>
              <w:rPr>
                <w:rFonts w:hint="eastAsia"/>
                <w:lang w:val="en-GB"/>
              </w:rPr>
              <w:t>①本项目厂区内分区基本明确，布局紧凑工艺流程通畅，功能分区合理，保证有良好的生产联系和工作环境。各生产环节连接紧凑，物料输送距离短，便于节能降耗，减少物料流失，提高生产效率。</w:t>
            </w:r>
          </w:p>
          <w:p>
            <w:pPr>
              <w:spacing w:line="360" w:lineRule="auto"/>
              <w:ind w:firstLine="480" w:firstLineChars="200"/>
              <w:rPr>
                <w:lang w:val="en-GB"/>
              </w:rPr>
            </w:pPr>
            <w:r>
              <w:rPr>
                <w:rFonts w:hint="eastAsia"/>
                <w:lang w:val="en-GB"/>
              </w:rPr>
              <w:t>②本项目产生的废气，经处理达标后，对人员基本没有影响。</w:t>
            </w:r>
          </w:p>
          <w:p>
            <w:pPr>
              <w:spacing w:line="360" w:lineRule="auto"/>
              <w:ind w:firstLine="480" w:firstLineChars="200"/>
              <w:rPr>
                <w:lang w:val="en-GB"/>
              </w:rPr>
            </w:pPr>
            <w:r>
              <w:rPr>
                <w:rFonts w:hint="eastAsia"/>
                <w:lang w:val="en-GB"/>
              </w:rPr>
              <w:t>③选用低噪声设备，并且在设备上采取了减振、隔声等措施。在采取降噪措施后，项目产生的噪声对厂界周围环境影响较小。</w:t>
            </w:r>
          </w:p>
          <w:p>
            <w:pPr>
              <w:spacing w:line="360" w:lineRule="auto"/>
              <w:ind w:firstLine="480" w:firstLineChars="200"/>
              <w:rPr>
                <w:lang w:val="en-GB"/>
              </w:rPr>
            </w:pPr>
            <w:r>
              <w:rPr>
                <w:rFonts w:hint="eastAsia"/>
                <w:lang w:val="en-GB"/>
              </w:rPr>
              <w:t>通过以上分析，本项目分区明确，总平面布置较好的满足了工艺流程的顺畅性，体现了物料输送的便捷性，使物料在厂区内的输送简单化，方便了生产；采取有效的治理措施后，生产废气和设备运转噪声对办公生活区的影响均较小；总图布置基本合理。本项目总平面布置见附图 4。</w:t>
            </w:r>
          </w:p>
          <w:p>
            <w:pPr>
              <w:spacing w:line="360" w:lineRule="auto"/>
              <w:ind w:firstLine="482" w:firstLineChars="200"/>
              <w:rPr>
                <w:b/>
                <w:bCs/>
                <w:lang w:val="en-GB"/>
              </w:rPr>
            </w:pPr>
            <w:r>
              <w:rPr>
                <w:b/>
                <w:bCs/>
                <w:lang w:val="en-GB"/>
              </w:rPr>
              <w:t>8、公用工程</w:t>
            </w:r>
          </w:p>
          <w:p>
            <w:pPr>
              <w:spacing w:line="360" w:lineRule="auto"/>
              <w:ind w:firstLine="480" w:firstLineChars="200"/>
              <w:rPr>
                <w:lang w:val="en-GB"/>
              </w:rPr>
            </w:pPr>
            <w:r>
              <w:rPr>
                <w:rFonts w:hint="eastAsia"/>
                <w:lang w:val="en-GB"/>
              </w:rPr>
              <w:t>（1）</w:t>
            </w:r>
            <w:r>
              <w:rPr>
                <w:lang w:val="en-GB" w:eastAsia="zh-TW"/>
              </w:rPr>
              <w:t>给水</w:t>
            </w:r>
          </w:p>
          <w:p>
            <w:pPr>
              <w:spacing w:line="360" w:lineRule="auto"/>
              <w:ind w:firstLine="480" w:firstLineChars="200"/>
              <w:rPr>
                <w:lang w:val="en-GB" w:eastAsia="zh-TW"/>
              </w:rPr>
            </w:pPr>
            <w:r>
              <w:rPr>
                <w:rFonts w:hint="eastAsia"/>
                <w:lang w:val="en-GB"/>
              </w:rPr>
              <w:t>项目无生产用水；项目不新增劳动定员，无生活用水</w:t>
            </w:r>
            <w:r>
              <w:rPr>
                <w:lang w:val="en-GB"/>
              </w:rPr>
              <w:t>。</w:t>
            </w:r>
          </w:p>
          <w:p>
            <w:pPr>
              <w:spacing w:line="360" w:lineRule="auto"/>
              <w:ind w:firstLine="480" w:firstLineChars="200"/>
              <w:jc w:val="left"/>
              <w:rPr>
                <w:lang w:val="en-GB"/>
              </w:rPr>
            </w:pPr>
            <w:r>
              <w:rPr>
                <w:rFonts w:hint="eastAsia" w:ascii="宋体" w:hAnsi="宋体" w:cs="宋体"/>
                <w:lang w:val="en-GB"/>
              </w:rPr>
              <w:t>综上所述，拟建项目无新增用水量</w:t>
            </w:r>
            <w:r>
              <w:rPr>
                <w:lang w:val="en-GB"/>
              </w:rPr>
              <w:t>。</w:t>
            </w:r>
          </w:p>
          <w:p>
            <w:pPr>
              <w:spacing w:line="360" w:lineRule="auto"/>
              <w:ind w:firstLine="480" w:firstLineChars="200"/>
              <w:rPr>
                <w:lang w:val="en-GB"/>
              </w:rPr>
            </w:pPr>
            <w:r>
              <w:rPr>
                <w:rFonts w:hint="eastAsia"/>
                <w:lang w:val="en-GB"/>
              </w:rPr>
              <w:t>（</w:t>
            </w:r>
            <w:r>
              <w:rPr>
                <w:lang w:val="en-GB"/>
              </w:rPr>
              <w:t>2</w:t>
            </w:r>
            <w:r>
              <w:rPr>
                <w:rFonts w:hint="eastAsia"/>
                <w:lang w:val="en-GB"/>
              </w:rPr>
              <w:t>）</w:t>
            </w:r>
            <w:r>
              <w:rPr>
                <w:lang w:val="en-GB"/>
              </w:rPr>
              <w:t>供电</w:t>
            </w:r>
          </w:p>
          <w:p>
            <w:pPr>
              <w:spacing w:line="360" w:lineRule="auto"/>
              <w:ind w:firstLine="480" w:firstLineChars="200"/>
              <w:rPr>
                <w:lang w:val="en-GB"/>
              </w:rPr>
            </w:pPr>
            <w:r>
              <w:rPr>
                <w:rFonts w:hint="eastAsia"/>
                <w:lang w:val="en-GB"/>
              </w:rPr>
              <w:t>项目用电依托新疆鑫汇众新型板业有限公司供电管网供给。</w:t>
            </w:r>
          </w:p>
          <w:p>
            <w:pPr>
              <w:spacing w:line="360" w:lineRule="auto"/>
              <w:ind w:firstLine="482" w:firstLineChars="200"/>
              <w:rPr>
                <w:b/>
                <w:bCs/>
                <w:lang w:val="en-GB"/>
              </w:rPr>
            </w:pPr>
            <w:r>
              <w:rPr>
                <w:b/>
                <w:bCs/>
                <w:lang w:val="en-GB"/>
              </w:rPr>
              <w:t>9、劳动定员及生产时数</w:t>
            </w:r>
          </w:p>
          <w:p>
            <w:pPr>
              <w:spacing w:line="360" w:lineRule="auto"/>
              <w:ind w:firstLine="480" w:firstLineChars="200"/>
              <w:rPr>
                <w:rFonts w:ascii="宋体" w:hAnsi="宋体" w:cs="宋体"/>
                <w:bCs/>
                <w:szCs w:val="21"/>
              </w:rPr>
            </w:pPr>
            <w:r>
              <w:rPr>
                <w:rFonts w:hint="eastAsia"/>
                <w:lang w:val="en-GB"/>
              </w:rPr>
              <w:t>项目无新增劳动定员，现有劳动定员50人，年生产天数</w:t>
            </w:r>
            <w:r>
              <w:rPr>
                <w:lang w:val="en-GB"/>
              </w:rPr>
              <w:t>300</w:t>
            </w:r>
            <w:r>
              <w:rPr>
                <w:rFonts w:hint="eastAsia"/>
                <w:lang w:val="en-GB"/>
              </w:rPr>
              <w:t>天，每天生产</w:t>
            </w:r>
            <w:r>
              <w:rPr>
                <w:lang w:val="en-GB"/>
              </w:rPr>
              <w:t>8</w:t>
            </w:r>
            <w:r>
              <w:rPr>
                <w:rFonts w:hint="eastAsia"/>
                <w:lang w:val="en-GB"/>
              </w:rPr>
              <w:t>小时，年运行</w:t>
            </w:r>
            <w:r>
              <w:rPr>
                <w:lang w:val="en-GB"/>
              </w:rPr>
              <w:t>2400</w:t>
            </w:r>
            <w:r>
              <w:rPr>
                <w:rFonts w:hint="eastAsia"/>
                <w:lang w:val="en-GB"/>
              </w:rPr>
              <w:t>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354" w:type="dxa"/>
            <w:vAlign w:val="center"/>
          </w:tcPr>
          <w:p>
            <w:pPr>
              <w:pStyle w:val="44"/>
              <w:adjustRightInd w:val="0"/>
              <w:snapToGrid w:val="0"/>
              <w:spacing w:before="0" w:beforeAutospacing="0" w:after="0" w:afterAutospacing="0"/>
              <w:jc w:val="center"/>
              <w:rPr>
                <w:rFonts w:cs="宋体"/>
                <w:sz w:val="21"/>
                <w:szCs w:val="21"/>
              </w:rPr>
            </w:pPr>
            <w:r>
              <w:rPr>
                <w:rFonts w:hint="eastAsia" w:cs="宋体"/>
                <w:sz w:val="21"/>
                <w:szCs w:val="21"/>
              </w:rPr>
              <w:t>工艺流程和产排污环节</w:t>
            </w:r>
          </w:p>
        </w:tc>
        <w:tc>
          <w:tcPr>
            <w:tcW w:w="8630" w:type="dxa"/>
          </w:tcPr>
          <w:p>
            <w:pPr>
              <w:spacing w:line="360" w:lineRule="auto"/>
              <w:ind w:firstLine="482" w:firstLineChars="200"/>
              <w:rPr>
                <w:b/>
                <w:lang w:val="en-GB"/>
              </w:rPr>
            </w:pPr>
            <w:r>
              <w:rPr>
                <w:b/>
                <w:lang w:val="en-GB"/>
              </w:rPr>
              <w:t>一、施工期</w:t>
            </w:r>
          </w:p>
          <w:p>
            <w:pPr>
              <w:spacing w:line="360" w:lineRule="auto"/>
              <w:ind w:firstLine="480"/>
            </w:pPr>
            <w:r>
              <w:rPr>
                <w:rFonts w:hint="eastAsia"/>
              </w:rPr>
              <w:t>本项目为技改项目，不进行大的土方建设，项目施工期工艺流程及产排污环节如下。</w:t>
            </w:r>
          </w:p>
          <w:p>
            <w:pPr>
              <w:spacing w:line="360" w:lineRule="auto"/>
              <w:rPr>
                <w:sz w:val="21"/>
                <w:lang w:val="en-GB"/>
              </w:rPr>
            </w:pPr>
            <w:r>
              <mc:AlternateContent>
                <mc:Choice Requires="wps">
                  <w:drawing>
                    <wp:anchor distT="0" distB="0" distL="114300" distR="114300" simplePos="0" relativeHeight="251660288" behindDoc="0" locked="0" layoutInCell="1" allowOverlap="1">
                      <wp:simplePos x="0" y="0"/>
                      <wp:positionH relativeFrom="column">
                        <wp:posOffset>2651760</wp:posOffset>
                      </wp:positionH>
                      <wp:positionV relativeFrom="paragraph">
                        <wp:posOffset>187960</wp:posOffset>
                      </wp:positionV>
                      <wp:extent cx="0" cy="212090"/>
                      <wp:effectExtent l="95250" t="38100" r="57150" b="16510"/>
                      <wp:wrapNone/>
                      <wp:docPr id="2" name="直接箭头连接符 2"/>
                      <wp:cNvGraphicFramePr/>
                      <a:graphic xmlns:a="http://schemas.openxmlformats.org/drawingml/2006/main">
                        <a:graphicData uri="http://schemas.microsoft.com/office/word/2010/wordprocessingShape">
                          <wps:wsp>
                            <wps:cNvCnPr/>
                            <wps:spPr>
                              <a:xfrm flipV="1">
                                <a:off x="0" y="0"/>
                                <a:ext cx="0" cy="212090"/>
                              </a:xfrm>
                              <a:prstGeom prst="straightConnector1">
                                <a:avLst/>
                              </a:prstGeom>
                              <a:noFill/>
                              <a:ln w="9525" cap="flat" cmpd="sng" algn="ctr">
                                <a:solidFill>
                                  <a:sysClr val="windowText" lastClr="000000"/>
                                </a:solidFill>
                                <a:prstDash val="solid"/>
                                <a:tailEnd type="arrow"/>
                              </a:ln>
                              <a:effectLst/>
                            </wps:spPr>
                            <wps:bodyPr/>
                          </wps:wsp>
                        </a:graphicData>
                      </a:graphic>
                    </wp:anchor>
                  </w:drawing>
                </mc:Choice>
                <mc:Fallback>
                  <w:pict>
                    <v:shape id="_x0000_s1026" o:spid="_x0000_s1026" o:spt="32" type="#_x0000_t32" style="position:absolute;left:0pt;flip:y;margin-left:208.8pt;margin-top:14.8pt;height:16.7pt;width:0pt;z-index:251660288;mso-width-relative:page;mso-height-relative:page;" filled="f" stroked="t" coordsize="21600,21600" o:gfxdata="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cRt/1gAAAAkBAAAPAAAAAAAAAAEAIAAA&#10;ACIAAABkcnMvZG93bnJldi54bWxQSwECFAAUAAAACACHTuJA8yQ+aQ4CAADyAwAADgAAAAAAAAAB&#10;ACAAAAAlAQAAZHJzL2Uyb0RvYy54bWxQSwUGAAAAAAYABgBZAQAApQUAAAAA&#10;">
                      <v:fill on="f" focussize="0,0"/>
                      <v:stroke color="#000000" joinstyle="round" endarrow="open"/>
                      <v:imagedata o:title=""/>
                      <o:lock v:ext="edit" aspectratio="f"/>
                    </v:shape>
                  </w:pict>
                </mc:Fallback>
              </mc:AlternateContent>
            </w:r>
            <w:r>
              <w:object>
                <v:shape id="_x0000_i1025" o:spt="75" type="#_x0000_t75" style="height:70.5pt;width:424.5pt;" o:ole="t" filled="f" o:preferrelative="t" stroked="f" coordsize="21600,21600">
                  <v:path/>
                  <v:fill on="f" focussize="0,0"/>
                  <v:stroke on="f" joinstyle="miter"/>
                  <v:imagedata r:id="rId8" o:title=""/>
                  <o:lock v:ext="edit" aspectratio="t"/>
                  <w10:wrap type="none"/>
                  <w10:anchorlock/>
                </v:shape>
                <o:OLEObject Type="Embed" ProgID="Visio.Drawing.15" ShapeID="_x0000_i1025" DrawAspect="Content" ObjectID="_1468075725" r:id="rId7">
                  <o:LockedField>false</o:LockedField>
                </o:OLEObject>
              </w:object>
            </w:r>
          </w:p>
          <w:p>
            <w:pPr>
              <w:adjustRightInd w:val="0"/>
              <w:snapToGrid w:val="0"/>
              <w:spacing w:before="60" w:after="60" w:line="360" w:lineRule="auto"/>
              <w:jc w:val="center"/>
              <w:rPr>
                <w:b/>
                <w:kern w:val="36"/>
                <w:sz w:val="21"/>
                <w:lang w:val="en-GB"/>
              </w:rPr>
            </w:pPr>
            <w:r>
              <w:rPr>
                <w:b/>
                <w:kern w:val="36"/>
                <w:sz w:val="21"/>
                <w:lang w:val="en-GB"/>
              </w:rPr>
              <w:t>图2-1   施工期工艺流程及产污环节图</w:t>
            </w:r>
          </w:p>
          <w:p>
            <w:pPr>
              <w:spacing w:line="360" w:lineRule="auto"/>
              <w:ind w:firstLine="482"/>
              <w:rPr>
                <w:b/>
                <w:bCs/>
                <w:lang w:val="en-GB" w:eastAsia="zh-TW"/>
              </w:rPr>
            </w:pPr>
            <w:r>
              <w:rPr>
                <w:b/>
                <w:bCs/>
                <w:lang w:val="en-GB" w:eastAsia="zh-TW"/>
              </w:rPr>
              <w:t>1、废气</w:t>
            </w:r>
          </w:p>
          <w:p>
            <w:pPr>
              <w:spacing w:line="360" w:lineRule="auto"/>
              <w:ind w:firstLine="482"/>
              <w:rPr>
                <w:lang w:val="en-GB" w:eastAsia="zh-TW"/>
              </w:rPr>
            </w:pPr>
            <w:r>
              <w:rPr>
                <w:lang w:val="en-GB" w:eastAsia="zh-TW"/>
              </w:rPr>
              <w:t>本项目施工期大气污染物主要为施工扬尘、道路运输扬尘、施工机械燃油废气。主要的污染物为 CO、N</w:t>
            </w:r>
            <w:r>
              <w:rPr>
                <w:lang w:val="en-GB"/>
              </w:rPr>
              <w:t>O</w:t>
            </w:r>
            <w:r>
              <w:rPr>
                <w:lang w:val="en-GB" w:eastAsia="zh-TW"/>
              </w:rPr>
              <w:t>x、TSP、THC等。</w:t>
            </w:r>
          </w:p>
          <w:p>
            <w:pPr>
              <w:spacing w:line="360" w:lineRule="auto"/>
              <w:ind w:firstLine="482"/>
              <w:rPr>
                <w:b/>
                <w:bCs/>
                <w:lang w:val="en-GB" w:eastAsia="zh-TW"/>
              </w:rPr>
            </w:pPr>
            <w:r>
              <w:rPr>
                <w:b/>
                <w:bCs/>
                <w:lang w:val="en-GB" w:eastAsia="zh-TW"/>
              </w:rPr>
              <w:t>2、废水</w:t>
            </w:r>
          </w:p>
          <w:p>
            <w:pPr>
              <w:spacing w:line="360" w:lineRule="auto"/>
              <w:ind w:firstLine="482"/>
              <w:rPr>
                <w:lang w:val="en-GB"/>
              </w:rPr>
            </w:pPr>
            <w:r>
              <w:rPr>
                <w:lang w:val="en-GB" w:eastAsia="zh-TW"/>
              </w:rPr>
              <w:t>施工期废水主要为施工人员生活污水以及施工废水。</w:t>
            </w:r>
          </w:p>
          <w:p>
            <w:pPr>
              <w:spacing w:line="360" w:lineRule="auto"/>
              <w:ind w:firstLine="482"/>
              <w:rPr>
                <w:b/>
                <w:bCs/>
                <w:lang w:val="en-GB" w:eastAsia="zh-TW"/>
              </w:rPr>
            </w:pPr>
            <w:r>
              <w:rPr>
                <w:b/>
                <w:bCs/>
                <w:lang w:val="en-GB" w:eastAsia="zh-TW"/>
              </w:rPr>
              <w:t>3、固体废弃物</w:t>
            </w:r>
          </w:p>
          <w:p>
            <w:pPr>
              <w:spacing w:line="360" w:lineRule="auto"/>
              <w:ind w:firstLine="482"/>
              <w:rPr>
                <w:rFonts w:eastAsia="PMingLiU"/>
                <w:lang w:val="en-GB" w:eastAsia="zh-TW"/>
              </w:rPr>
            </w:pPr>
            <w:r>
              <w:rPr>
                <w:lang w:val="en-GB" w:eastAsia="zh-TW"/>
              </w:rPr>
              <w:t>本项目施工期固体废弃物主要有建筑垃圾和施工人员生活垃圾等。</w:t>
            </w:r>
          </w:p>
          <w:p>
            <w:pPr>
              <w:spacing w:line="360" w:lineRule="auto"/>
              <w:ind w:firstLine="482"/>
              <w:rPr>
                <w:b/>
                <w:bCs/>
                <w:lang w:val="en-GB" w:eastAsia="zh-TW"/>
              </w:rPr>
            </w:pPr>
            <w:r>
              <w:rPr>
                <w:b/>
                <w:bCs/>
                <w:lang w:val="en-GB" w:eastAsia="zh-TW"/>
              </w:rPr>
              <w:t xml:space="preserve">4、噪声 </w:t>
            </w:r>
          </w:p>
          <w:p>
            <w:pPr>
              <w:spacing w:line="360" w:lineRule="auto"/>
              <w:ind w:firstLine="482"/>
              <w:rPr>
                <w:lang w:val="en-GB" w:eastAsia="zh-TW"/>
              </w:rPr>
            </w:pPr>
            <w:r>
              <w:rPr>
                <w:lang w:val="en-GB" w:eastAsia="zh-TW"/>
              </w:rPr>
              <w:t>施工阶段的噪声主要来自于各种施工机械的噪声。</w:t>
            </w:r>
          </w:p>
          <w:p>
            <w:pPr>
              <w:spacing w:line="360" w:lineRule="auto"/>
              <w:ind w:firstLine="482" w:firstLineChars="200"/>
              <w:rPr>
                <w:b/>
                <w:lang w:val="en-GB"/>
              </w:rPr>
            </w:pPr>
            <w:r>
              <w:rPr>
                <w:rFonts w:hint="eastAsia"/>
                <w:b/>
                <w:lang w:val="en-GB"/>
              </w:rPr>
              <w:t>二</w:t>
            </w:r>
            <w:r>
              <w:rPr>
                <w:b/>
                <w:lang w:val="en-GB"/>
              </w:rPr>
              <w:t>、</w:t>
            </w:r>
            <w:r>
              <w:rPr>
                <w:rFonts w:hint="eastAsia"/>
                <w:b/>
                <w:lang w:val="en-GB"/>
              </w:rPr>
              <w:t>营运</w:t>
            </w:r>
            <w:r>
              <w:rPr>
                <w:b/>
                <w:lang w:val="en-GB"/>
              </w:rPr>
              <w:t>期</w:t>
            </w:r>
          </w:p>
          <w:p>
            <w:pPr>
              <w:spacing w:line="360" w:lineRule="auto"/>
              <w:ind w:firstLine="480" w:firstLineChars="200"/>
            </w:pPr>
            <w:r>
              <w:t>项目投入运营后，生产工艺流程和及排污节点见下图。</w:t>
            </w:r>
          </w:p>
          <w:p>
            <w:pPr>
              <w:widowControl/>
              <w:jc w:val="center"/>
              <w:rPr>
                <w:rFonts w:ascii="宋体" w:hAnsi="宋体" w:cs="宋体"/>
                <w:kern w:val="0"/>
              </w:rPr>
            </w:pPr>
            <w:r>
              <w:object>
                <v:shape id="_x0000_i1026" o:spt="75" type="#_x0000_t75" style="height:240pt;width:420pt;" o:ole="t" filled="f" o:preferrelative="t" stroked="f" coordsize="21600,21600">
                  <v:path/>
                  <v:fill on="f" focussize="0,0"/>
                  <v:stroke on="f" joinstyle="miter"/>
                  <v:imagedata r:id="rId10" o:title=""/>
                  <o:lock v:ext="edit" aspectratio="t"/>
                  <w10:wrap type="none"/>
                  <w10:anchorlock/>
                </v:shape>
                <o:OLEObject Type="Embed" ProgID="Visio.Drawing.11" ShapeID="_x0000_i1026" DrawAspect="Content" ObjectID="_1468075726" r:id="rId9">
                  <o:LockedField>false</o:LockedField>
                </o:OLEObject>
              </w:object>
            </w:r>
            <w:r>
              <w:rPr>
                <w:rFonts w:ascii="宋体" w:hAnsi="宋体" w:cs="宋体"/>
                <w:kern w:val="0"/>
              </w:rPr>
              <mc:AlternateContent>
                <mc:Choice Requires="wps">
                  <w:drawing>
                    <wp:anchor distT="0" distB="0" distL="114300" distR="114300" simplePos="0" relativeHeight="251659264" behindDoc="0" locked="0" layoutInCell="1" allowOverlap="1">
                      <wp:simplePos x="0" y="0"/>
                      <wp:positionH relativeFrom="column">
                        <wp:posOffset>3514090</wp:posOffset>
                      </wp:positionH>
                      <wp:positionV relativeFrom="paragraph">
                        <wp:posOffset>1103630</wp:posOffset>
                      </wp:positionV>
                      <wp:extent cx="476885" cy="246380"/>
                      <wp:effectExtent l="0" t="0" r="0" b="1270"/>
                      <wp:wrapNone/>
                      <wp:docPr id="1" name="文本框 1"/>
                      <wp:cNvGraphicFramePr/>
                      <a:graphic xmlns:a="http://schemas.openxmlformats.org/drawingml/2006/main">
                        <a:graphicData uri="http://schemas.microsoft.com/office/word/2010/wordprocessingShape">
                          <wps:wsp>
                            <wps:cNvSpPr txBox="1"/>
                            <wps:spPr>
                              <a:xfrm>
                                <a:off x="0" y="0"/>
                                <a:ext cx="477078" cy="246490"/>
                              </a:xfrm>
                              <a:prstGeom prst="rect">
                                <a:avLst/>
                              </a:prstGeom>
                              <a:noFill/>
                              <a:ln w="6350">
                                <a:noFill/>
                              </a:ln>
                            </wps:spPr>
                            <wps:txbx>
                              <w:txbxContent>
                                <w:p>
                                  <w:pPr>
                                    <w:rPr>
                                      <w:sz w:val="18"/>
                                      <w:szCs w:val="18"/>
                                    </w:rPr>
                                  </w:pPr>
                                  <w:r>
                                    <w:rPr>
                                      <w:rFonts w:hint="eastAsia"/>
                                      <w:sz w:val="18"/>
                                      <w:szCs w:val="18"/>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6.7pt;margin-top:86.9pt;height:19.4pt;width:37.55pt;z-index:251659264;mso-width-relative:page;mso-height-relative:page;" filled="f" stroked="f" coordsize="21600,21600" o:gfxdata="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qDND/bAAAACwEAAA8AAAAAAAAAAQAgAAAAIgAAAGRy&#10;cy9kb3ducmV2LnhtbFBLAQIUABQAAAAIAIdO4kDITHC8OwIAAGUEAAAOAAAAAAAAAAEAIAAAACoB&#10;AABkcnMvZTJvRG9jLnhtbFBLBQYAAAAABgAGAFkBAADXBQAAAAA=&#10;">
                      <v:fill on="f" focussize="0,0"/>
                      <v:stroke on="f" weight="0.5pt"/>
                      <v:imagedata o:title=""/>
                      <o:lock v:ext="edit" aspectratio="f"/>
                      <v:textbox>
                        <w:txbxContent>
                          <w:p>
                            <w:pPr>
                              <w:rPr>
                                <w:sz w:val="18"/>
                                <w:szCs w:val="18"/>
                              </w:rPr>
                            </w:pPr>
                            <w:r>
                              <w:rPr>
                                <w:rFonts w:hint="eastAsia"/>
                                <w:sz w:val="18"/>
                                <w:szCs w:val="18"/>
                              </w:rPr>
                              <w:t>、废水</w:t>
                            </w:r>
                          </w:p>
                        </w:txbxContent>
                      </v:textbox>
                    </v:shape>
                  </w:pict>
                </mc:Fallback>
              </mc:AlternateContent>
            </w:r>
          </w:p>
          <w:p>
            <w:pPr>
              <w:pStyle w:val="100"/>
              <w:spacing w:before="120" w:beforeLines="50"/>
            </w:pPr>
            <w:r>
              <w:t>图</w:t>
            </w:r>
            <w:r>
              <w:rPr>
                <w:rFonts w:hint="eastAsia"/>
              </w:rPr>
              <w:t>2-</w:t>
            </w:r>
            <w:r>
              <w:t>2 工艺流程及排污节点图</w:t>
            </w:r>
          </w:p>
          <w:p>
            <w:pPr>
              <w:adjustRightInd w:val="0"/>
              <w:spacing w:line="360" w:lineRule="auto"/>
              <w:ind w:firstLine="482" w:firstLineChars="200"/>
              <w:jc w:val="left"/>
              <w:textAlignment w:val="baseline"/>
              <w:rPr>
                <w:b/>
                <w:bCs/>
                <w:szCs w:val="20"/>
              </w:rPr>
            </w:pPr>
            <w:r>
              <w:rPr>
                <w:b/>
                <w:bCs/>
                <w:szCs w:val="20"/>
              </w:rPr>
              <w:t>工艺流程简介：</w:t>
            </w:r>
          </w:p>
          <w:p>
            <w:pPr>
              <w:adjustRightInd w:val="0"/>
              <w:snapToGrid w:val="0"/>
              <w:spacing w:line="360" w:lineRule="auto"/>
              <w:ind w:firstLine="480" w:firstLineChars="200"/>
              <w:textAlignment w:val="baseline"/>
              <w:rPr>
                <w:szCs w:val="22"/>
              </w:rPr>
            </w:pPr>
            <w:r>
              <w:rPr>
                <w:rFonts w:hint="eastAsia"/>
                <w:szCs w:val="22"/>
              </w:rPr>
              <w:t>（1）芯料制作</w:t>
            </w:r>
          </w:p>
          <w:p>
            <w:pPr>
              <w:adjustRightInd w:val="0"/>
              <w:snapToGrid w:val="0"/>
              <w:spacing w:line="360" w:lineRule="auto"/>
              <w:ind w:firstLine="480" w:firstLineChars="200"/>
              <w:textAlignment w:val="baseline"/>
              <w:rPr>
                <w:szCs w:val="22"/>
              </w:rPr>
            </w:pPr>
            <w:r>
              <w:rPr>
                <w:rFonts w:hint="eastAsia"/>
                <w:szCs w:val="22"/>
              </w:rPr>
              <w:t>外购小原木经切断、刨片工序形成湿芯料，运送至湿芯料仓暂存；刨片工序会产生刨片粉尘G</w:t>
            </w:r>
            <w:r>
              <w:rPr>
                <w:szCs w:val="22"/>
              </w:rPr>
              <w:t>1</w:t>
            </w:r>
            <w:r>
              <w:rPr>
                <w:rFonts w:hint="eastAsia"/>
                <w:szCs w:val="22"/>
              </w:rPr>
              <w:t>；</w:t>
            </w:r>
          </w:p>
          <w:p>
            <w:pPr>
              <w:adjustRightInd w:val="0"/>
              <w:snapToGrid w:val="0"/>
              <w:spacing w:line="360" w:lineRule="auto"/>
              <w:ind w:firstLine="480" w:firstLineChars="200"/>
              <w:textAlignment w:val="baseline"/>
              <w:rPr>
                <w:szCs w:val="22"/>
              </w:rPr>
            </w:pPr>
            <w:r>
              <w:rPr>
                <w:rFonts w:hint="eastAsia"/>
                <w:szCs w:val="22"/>
              </w:rPr>
              <w:t>湿芯料经热风干燥后形成干芯料，在此过程会产生干燥废气G</w:t>
            </w:r>
            <w:r>
              <w:rPr>
                <w:szCs w:val="22"/>
              </w:rPr>
              <w:t>2</w:t>
            </w:r>
            <w:r>
              <w:rPr>
                <w:rFonts w:hint="eastAsia"/>
                <w:szCs w:val="22"/>
              </w:rPr>
              <w:t>；</w:t>
            </w:r>
          </w:p>
          <w:p>
            <w:pPr>
              <w:adjustRightInd w:val="0"/>
              <w:snapToGrid w:val="0"/>
              <w:spacing w:line="360" w:lineRule="auto"/>
              <w:ind w:firstLine="480" w:firstLineChars="200"/>
              <w:textAlignment w:val="baseline"/>
              <w:rPr>
                <w:szCs w:val="22"/>
              </w:rPr>
            </w:pPr>
            <w:r>
              <w:rPr>
                <w:rFonts w:hint="eastAsia"/>
                <w:szCs w:val="22"/>
              </w:rPr>
              <w:t>干芯料输送至干芯料仓备用。</w:t>
            </w:r>
          </w:p>
          <w:p>
            <w:pPr>
              <w:adjustRightInd w:val="0"/>
              <w:snapToGrid w:val="0"/>
              <w:spacing w:line="360" w:lineRule="auto"/>
              <w:ind w:firstLine="480" w:firstLineChars="200"/>
              <w:textAlignment w:val="baseline"/>
              <w:rPr>
                <w:szCs w:val="22"/>
              </w:rPr>
            </w:pPr>
            <w:r>
              <w:rPr>
                <w:rFonts w:hint="eastAsia"/>
                <w:szCs w:val="22"/>
              </w:rPr>
              <w:t>（2）面料制作</w:t>
            </w:r>
          </w:p>
          <w:p>
            <w:pPr>
              <w:adjustRightInd w:val="0"/>
              <w:snapToGrid w:val="0"/>
              <w:spacing w:line="360" w:lineRule="auto"/>
              <w:ind w:firstLine="480" w:firstLineChars="200"/>
              <w:textAlignment w:val="baseline"/>
              <w:rPr>
                <w:szCs w:val="22"/>
              </w:rPr>
            </w:pPr>
            <w:r>
              <w:rPr>
                <w:szCs w:val="22"/>
              </w:rPr>
              <w:t>外购</w:t>
            </w:r>
            <w:r>
              <w:rPr>
                <w:rFonts w:hint="eastAsia"/>
                <w:szCs w:val="22"/>
              </w:rPr>
              <w:t>大</w:t>
            </w:r>
            <w:r>
              <w:rPr>
                <w:szCs w:val="22"/>
              </w:rPr>
              <w:t>原木经</w:t>
            </w:r>
            <w:r>
              <w:rPr>
                <w:rFonts w:hint="eastAsia"/>
                <w:szCs w:val="22"/>
              </w:rPr>
              <w:t>旋切形成湿面料，运送至湿面料仓暂存；</w:t>
            </w:r>
            <w:r>
              <w:rPr>
                <w:szCs w:val="22"/>
              </w:rPr>
              <w:t xml:space="preserve"> </w:t>
            </w:r>
          </w:p>
          <w:p>
            <w:pPr>
              <w:adjustRightInd w:val="0"/>
              <w:snapToGrid w:val="0"/>
              <w:spacing w:line="360" w:lineRule="auto"/>
              <w:ind w:firstLine="480" w:firstLineChars="200"/>
              <w:textAlignment w:val="baseline"/>
              <w:rPr>
                <w:szCs w:val="22"/>
              </w:rPr>
            </w:pPr>
            <w:r>
              <w:rPr>
                <w:rFonts w:hint="eastAsia"/>
                <w:szCs w:val="22"/>
              </w:rPr>
              <w:t>湿面料经热风干燥后形成干面料，在此过程会产生干燥粉尘G</w:t>
            </w:r>
            <w:r>
              <w:rPr>
                <w:szCs w:val="22"/>
              </w:rPr>
              <w:t>3</w:t>
            </w:r>
            <w:r>
              <w:rPr>
                <w:rFonts w:hint="eastAsia"/>
                <w:szCs w:val="22"/>
              </w:rPr>
              <w:t>；</w:t>
            </w:r>
          </w:p>
          <w:p>
            <w:pPr>
              <w:adjustRightInd w:val="0"/>
              <w:snapToGrid w:val="0"/>
              <w:spacing w:line="360" w:lineRule="auto"/>
              <w:ind w:firstLine="480" w:firstLineChars="200"/>
              <w:textAlignment w:val="baseline"/>
              <w:rPr>
                <w:szCs w:val="22"/>
              </w:rPr>
            </w:pPr>
            <w:r>
              <w:rPr>
                <w:rFonts w:hint="eastAsia"/>
                <w:szCs w:val="22"/>
              </w:rPr>
              <w:t>干面料进行滚筒筛分，较小的不合格品输送至干芯料仓作为芯料使用；合格的干面料输送至干面料仓备用；在此过程会产生筛分粉尘G</w:t>
            </w:r>
            <w:r>
              <w:rPr>
                <w:szCs w:val="22"/>
              </w:rPr>
              <w:t>4</w:t>
            </w:r>
            <w:r>
              <w:rPr>
                <w:rFonts w:hint="eastAsia"/>
                <w:szCs w:val="22"/>
              </w:rPr>
              <w:t>；</w:t>
            </w:r>
          </w:p>
          <w:p>
            <w:pPr>
              <w:adjustRightInd w:val="0"/>
              <w:snapToGrid w:val="0"/>
              <w:spacing w:line="360" w:lineRule="auto"/>
              <w:ind w:firstLine="480" w:firstLineChars="200"/>
              <w:textAlignment w:val="baseline"/>
              <w:rPr>
                <w:szCs w:val="22"/>
              </w:rPr>
            </w:pPr>
            <w:r>
              <w:rPr>
                <w:rFonts w:hint="eastAsia"/>
                <w:szCs w:val="22"/>
              </w:rPr>
              <w:t>（3）成型压制</w:t>
            </w:r>
          </w:p>
          <w:p>
            <w:pPr>
              <w:adjustRightInd w:val="0"/>
              <w:snapToGrid w:val="0"/>
              <w:spacing w:line="360" w:lineRule="auto"/>
              <w:ind w:firstLine="480" w:firstLineChars="200"/>
              <w:textAlignment w:val="baseline"/>
              <w:rPr>
                <w:szCs w:val="22"/>
              </w:rPr>
            </w:pPr>
            <w:r>
              <w:rPr>
                <w:rFonts w:hint="eastAsia"/>
                <w:szCs w:val="22"/>
              </w:rPr>
              <w:t>施胶、铺装：芯料与面料分别经施胶机进行施胶，后铺装成型，在此过程会产生施胶废气G</w:t>
            </w:r>
            <w:r>
              <w:rPr>
                <w:szCs w:val="22"/>
              </w:rPr>
              <w:t>5</w:t>
            </w:r>
            <w:r>
              <w:rPr>
                <w:rFonts w:hint="eastAsia"/>
                <w:szCs w:val="22"/>
              </w:rPr>
              <w:t>，主要成分为VOCs和甲醛；</w:t>
            </w:r>
          </w:p>
          <w:p>
            <w:pPr>
              <w:adjustRightInd w:val="0"/>
              <w:snapToGrid w:val="0"/>
              <w:spacing w:line="360" w:lineRule="auto"/>
              <w:ind w:firstLine="480" w:firstLineChars="200"/>
              <w:textAlignment w:val="baseline"/>
              <w:rPr>
                <w:szCs w:val="22"/>
              </w:rPr>
            </w:pPr>
            <w:r>
              <w:rPr>
                <w:rFonts w:hint="eastAsia"/>
                <w:szCs w:val="22"/>
              </w:rPr>
              <w:t>预压：铺装后半成品输送至预压机预压，在此过程会产生预压废气G</w:t>
            </w:r>
            <w:r>
              <w:rPr>
                <w:szCs w:val="22"/>
              </w:rPr>
              <w:t>6</w:t>
            </w:r>
            <w:r>
              <w:rPr>
                <w:rFonts w:hint="eastAsia"/>
                <w:szCs w:val="22"/>
              </w:rPr>
              <w:t>，主要成分为VOCs和甲醛；</w:t>
            </w:r>
          </w:p>
          <w:p>
            <w:pPr>
              <w:adjustRightInd w:val="0"/>
              <w:snapToGrid w:val="0"/>
              <w:spacing w:line="360" w:lineRule="auto"/>
              <w:ind w:firstLine="480" w:firstLineChars="200"/>
              <w:textAlignment w:val="baseline"/>
              <w:rPr>
                <w:szCs w:val="22"/>
              </w:rPr>
            </w:pPr>
            <w:r>
              <w:rPr>
                <w:rFonts w:hint="eastAsia"/>
                <w:szCs w:val="22"/>
              </w:rPr>
              <w:t>锯边截长：将冷压成型的板坯横截成等长度的板，同时截齐两侧侧边，在此过程会产生锯边粉尘G</w:t>
            </w:r>
            <w:r>
              <w:rPr>
                <w:szCs w:val="22"/>
              </w:rPr>
              <w:t>7</w:t>
            </w:r>
            <w:r>
              <w:rPr>
                <w:rFonts w:hint="eastAsia"/>
                <w:szCs w:val="22"/>
              </w:rPr>
              <w:t>。截下的边料与铺装不合格的板坯一同回收回用。</w:t>
            </w:r>
          </w:p>
          <w:p>
            <w:pPr>
              <w:adjustRightInd w:val="0"/>
              <w:snapToGrid w:val="0"/>
              <w:spacing w:line="360" w:lineRule="auto"/>
              <w:ind w:firstLine="480" w:firstLineChars="200"/>
              <w:textAlignment w:val="baseline"/>
              <w:rPr>
                <w:szCs w:val="22"/>
              </w:rPr>
            </w:pPr>
            <w:r>
              <w:rPr>
                <w:rFonts w:hint="eastAsia"/>
                <w:szCs w:val="22"/>
              </w:rPr>
              <w:t>热压：冷压板由装板机自动送入热压机，压制成满足工艺要求的密度，同时胶粘剂固化，使其成为毛板，热压热源为来自锅炉房的导热油炉。在此过程会产生热压废气G</w:t>
            </w:r>
            <w:r>
              <w:rPr>
                <w:szCs w:val="22"/>
              </w:rPr>
              <w:t>8</w:t>
            </w:r>
            <w:r>
              <w:rPr>
                <w:rFonts w:hint="eastAsia"/>
                <w:szCs w:val="22"/>
              </w:rPr>
              <w:t>，主要成分为VOCs和甲醛；</w:t>
            </w:r>
          </w:p>
          <w:p>
            <w:pPr>
              <w:adjustRightInd w:val="0"/>
              <w:snapToGrid w:val="0"/>
              <w:spacing w:line="360" w:lineRule="auto"/>
              <w:ind w:firstLine="480" w:firstLineChars="200"/>
              <w:textAlignment w:val="baseline"/>
              <w:rPr>
                <w:szCs w:val="22"/>
              </w:rPr>
            </w:pPr>
            <w:r>
              <w:rPr>
                <w:rFonts w:hint="eastAsia"/>
                <w:szCs w:val="22"/>
              </w:rPr>
              <w:t>截边对齐：毛板从热压机出来后，在压制过程中其四边均呈毛刺状，需要进行锯齐，然后通过检厚和称重，不合格毛板被剔出生产线，作为等外品出售，合格品送至冷却机进行冷却，然后堆垛并送至中间贮存区存放，使其继续自然冷却，经包装后由叉车送往成品库贮存。在此过程会产生截边粉尘G</w:t>
            </w:r>
            <w:r>
              <w:rPr>
                <w:szCs w:val="22"/>
              </w:rPr>
              <w:t>9</w:t>
            </w:r>
            <w:r>
              <w:rPr>
                <w:rFonts w:hint="eastAsia"/>
                <w:szCs w:val="22"/>
              </w:rPr>
              <w:t>。</w:t>
            </w:r>
          </w:p>
          <w:p>
            <w:pPr>
              <w:adjustRightInd w:val="0"/>
              <w:snapToGrid w:val="0"/>
              <w:spacing w:line="360" w:lineRule="auto"/>
              <w:ind w:firstLine="482" w:firstLineChars="200"/>
              <w:textAlignment w:val="baseline"/>
              <w:rPr>
                <w:b/>
                <w:bCs/>
                <w:szCs w:val="20"/>
              </w:rPr>
            </w:pPr>
            <w:r>
              <w:rPr>
                <w:rFonts w:hint="eastAsia"/>
                <w:b/>
                <w:bCs/>
                <w:szCs w:val="20"/>
              </w:rPr>
              <w:t>主要污染因素：</w:t>
            </w:r>
          </w:p>
          <w:p>
            <w:pPr>
              <w:adjustRightInd w:val="0"/>
              <w:snapToGrid w:val="0"/>
              <w:spacing w:line="360" w:lineRule="auto"/>
              <w:ind w:firstLine="480" w:firstLineChars="200"/>
              <w:textAlignment w:val="baseline"/>
              <w:rPr>
                <w:szCs w:val="20"/>
              </w:rPr>
            </w:pPr>
            <w:r>
              <w:rPr>
                <w:rFonts w:hint="eastAsia"/>
                <w:szCs w:val="20"/>
              </w:rPr>
              <w:t>1、废气：刨片、筛分、锯边、截边产生的粉尘；干燥工序产生的粉尘和VOCs；施胶、预压、热压产生的VOCs和甲醛；</w:t>
            </w:r>
          </w:p>
          <w:p>
            <w:pPr>
              <w:adjustRightInd w:val="0"/>
              <w:snapToGrid w:val="0"/>
              <w:spacing w:line="360" w:lineRule="auto"/>
              <w:ind w:firstLine="480" w:firstLineChars="200"/>
              <w:textAlignment w:val="baseline"/>
              <w:rPr>
                <w:szCs w:val="20"/>
              </w:rPr>
            </w:pPr>
            <w:r>
              <w:rPr>
                <w:rFonts w:hint="eastAsia"/>
                <w:szCs w:val="20"/>
              </w:rPr>
              <w:t>3、固废：主要为废边角料、不合格品、收集粉尘、废导热油；</w:t>
            </w:r>
          </w:p>
          <w:p>
            <w:pPr>
              <w:adjustRightInd w:val="0"/>
              <w:snapToGrid w:val="0"/>
              <w:spacing w:line="360" w:lineRule="auto"/>
              <w:ind w:firstLine="480" w:firstLineChars="200"/>
              <w:textAlignment w:val="baseline"/>
              <w:rPr>
                <w:rFonts w:ascii="宋体" w:hAnsi="宋体"/>
                <w:bCs/>
                <w:szCs w:val="21"/>
              </w:rPr>
            </w:pPr>
            <w:r>
              <w:rPr>
                <w:rFonts w:hint="eastAsia"/>
                <w:szCs w:val="20"/>
              </w:rPr>
              <w:t>4、噪声：主要为设备运行噪声。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trPr>
        <w:tc>
          <w:tcPr>
            <w:tcW w:w="354" w:type="dxa"/>
            <w:vAlign w:val="center"/>
          </w:tcPr>
          <w:p>
            <w:pPr>
              <w:pStyle w:val="44"/>
              <w:adjustRightInd w:val="0"/>
              <w:snapToGrid w:val="0"/>
              <w:spacing w:before="0" w:beforeAutospacing="0" w:after="0" w:afterAutospacing="0"/>
              <w:jc w:val="center"/>
              <w:rPr>
                <w:rFonts w:cs="宋体"/>
                <w:sz w:val="21"/>
                <w:szCs w:val="21"/>
              </w:rPr>
            </w:pPr>
            <w:r>
              <w:rPr>
                <w:rFonts w:hint="eastAsia" w:cs="宋体"/>
                <w:bCs/>
                <w:kern w:val="2"/>
                <w:sz w:val="21"/>
                <w:szCs w:val="21"/>
              </w:rPr>
              <w:t>与项目有关的原有环境污染问题</w:t>
            </w:r>
          </w:p>
        </w:tc>
        <w:tc>
          <w:tcPr>
            <w:tcW w:w="8630" w:type="dxa"/>
            <w:vAlign w:val="center"/>
          </w:tcPr>
          <w:p>
            <w:pPr>
              <w:autoSpaceDE w:val="0"/>
              <w:autoSpaceDN w:val="0"/>
              <w:adjustRightInd w:val="0"/>
              <w:snapToGrid w:val="0"/>
              <w:spacing w:line="360" w:lineRule="auto"/>
              <w:ind w:left="240" w:leftChars="100" w:right="4469" w:firstLine="241" w:firstLineChars="100"/>
              <w:jc w:val="left"/>
              <w:rPr>
                <w:rFonts w:ascii="宋体" w:hAnsi="宋体"/>
                <w:bCs/>
              </w:rPr>
            </w:pPr>
            <w:r>
              <w:rPr>
                <w:rFonts w:ascii="宋体" w:hAnsi="宋体" w:cs="宋体"/>
                <w:b/>
                <w:bCs/>
                <w:kern w:val="0"/>
                <w:szCs w:val="22"/>
                <w:lang w:val="zh-CN" w:bidi="zh-CN"/>
              </w:rPr>
              <w:t>一、厂区现有工程简介</w:t>
            </w:r>
          </w:p>
          <w:p>
            <w:pPr>
              <w:adjustRightInd w:val="0"/>
              <w:snapToGrid w:val="0"/>
              <w:spacing w:line="360" w:lineRule="auto"/>
              <w:ind w:firstLine="472" w:firstLineChars="196"/>
              <w:rPr>
                <w:b/>
                <w:kern w:val="0"/>
                <w:szCs w:val="20"/>
              </w:rPr>
            </w:pPr>
            <w:r>
              <w:rPr>
                <w:rFonts w:hint="eastAsia"/>
                <w:b/>
                <w:kern w:val="0"/>
                <w:szCs w:val="20"/>
              </w:rPr>
              <w:t>厂区</w:t>
            </w:r>
            <w:r>
              <w:rPr>
                <w:b/>
                <w:kern w:val="0"/>
                <w:szCs w:val="20"/>
              </w:rPr>
              <w:t>现有</w:t>
            </w:r>
            <w:r>
              <w:rPr>
                <w:rFonts w:hint="eastAsia"/>
                <w:b/>
                <w:kern w:val="0"/>
                <w:szCs w:val="20"/>
              </w:rPr>
              <w:t>年产10万m³刨花板生产线。</w:t>
            </w:r>
          </w:p>
          <w:p>
            <w:pPr>
              <w:autoSpaceDE w:val="0"/>
              <w:autoSpaceDN w:val="0"/>
              <w:adjustRightInd w:val="0"/>
              <w:snapToGrid w:val="0"/>
              <w:spacing w:line="360" w:lineRule="auto"/>
              <w:ind w:firstLine="482" w:firstLineChars="200"/>
              <w:jc w:val="left"/>
              <w:rPr>
                <w:b/>
                <w:bCs/>
                <w:kern w:val="0"/>
                <w:szCs w:val="22"/>
                <w:lang w:val="zh-CN" w:bidi="zh-CN"/>
              </w:rPr>
            </w:pPr>
            <w:r>
              <w:rPr>
                <w:b/>
                <w:bCs/>
                <w:kern w:val="0"/>
                <w:szCs w:val="22"/>
                <w:lang w:val="zh-CN" w:bidi="zh-CN"/>
              </w:rPr>
              <w:t>1、项目现有工程三同时情况</w:t>
            </w:r>
          </w:p>
          <w:p>
            <w:pPr>
              <w:pStyle w:val="100"/>
            </w:pPr>
            <w:r>
              <w:rPr>
                <w:lang w:val="zh-CN" w:bidi="zh-CN"/>
              </w:rPr>
              <w:t>表2</w:t>
            </w:r>
            <w:r>
              <w:rPr>
                <w:rFonts w:hint="eastAsia"/>
                <w:lang w:val="zh-CN" w:bidi="zh-CN"/>
              </w:rPr>
              <w:t>-</w:t>
            </w:r>
            <w:r>
              <w:rPr>
                <w:lang w:val="zh-CN" w:bidi="zh-CN"/>
              </w:rPr>
              <w:t>8</w:t>
            </w:r>
            <w:r>
              <w:rPr>
                <w:lang w:val="zh-CN" w:bidi="zh-CN"/>
              </w:rPr>
              <w:tab/>
            </w:r>
            <w:r>
              <w:rPr>
                <w:lang w:val="zh-CN" w:bidi="zh-CN"/>
              </w:rPr>
              <w:t>现有项目情况一览表</w:t>
            </w:r>
          </w:p>
          <w:tbl>
            <w:tblPr>
              <w:tblStyle w:val="50"/>
              <w:tblW w:w="7778" w:type="dxa"/>
              <w:tblInd w:w="123"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81"/>
              <w:gridCol w:w="2897"/>
              <w:gridCol w:w="1743"/>
              <w:gridCol w:w="2257"/>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881" w:type="dxa"/>
                  <w:vAlign w:val="center"/>
                </w:tcPr>
                <w:p>
                  <w:pPr>
                    <w:adjustRightInd w:val="0"/>
                    <w:snapToGrid w:val="0"/>
                    <w:spacing w:before="24" w:beforeLines="10" w:after="24" w:afterLines="10" w:line="259" w:lineRule="auto"/>
                    <w:jc w:val="center"/>
                    <w:rPr>
                      <w:rFonts w:ascii="宋体"/>
                      <w:b/>
                      <w:bCs/>
                      <w:kern w:val="0"/>
                      <w:sz w:val="21"/>
                      <w:szCs w:val="20"/>
                      <w:lang w:val="zh-CN" w:bidi="zh-CN"/>
                    </w:rPr>
                  </w:pPr>
                  <w:r>
                    <w:rPr>
                      <w:rFonts w:ascii="宋体"/>
                      <w:b/>
                      <w:bCs/>
                      <w:kern w:val="0"/>
                      <w:sz w:val="21"/>
                      <w:szCs w:val="20"/>
                      <w:lang w:val="zh-CN" w:bidi="zh-CN"/>
                    </w:rPr>
                    <w:t>序号</w:t>
                  </w:r>
                </w:p>
              </w:tc>
              <w:tc>
                <w:tcPr>
                  <w:tcW w:w="2897" w:type="dxa"/>
                  <w:vAlign w:val="center"/>
                </w:tcPr>
                <w:p>
                  <w:pPr>
                    <w:adjustRightInd w:val="0"/>
                    <w:snapToGrid w:val="0"/>
                    <w:spacing w:before="24" w:beforeLines="10" w:after="24" w:afterLines="10" w:line="259" w:lineRule="auto"/>
                    <w:jc w:val="center"/>
                    <w:rPr>
                      <w:rFonts w:ascii="宋体"/>
                      <w:b/>
                      <w:bCs/>
                      <w:kern w:val="0"/>
                      <w:sz w:val="21"/>
                      <w:szCs w:val="20"/>
                      <w:lang w:val="zh-CN" w:bidi="zh-CN"/>
                    </w:rPr>
                  </w:pPr>
                  <w:r>
                    <w:rPr>
                      <w:rFonts w:ascii="宋体"/>
                      <w:b/>
                      <w:bCs/>
                      <w:kern w:val="0"/>
                      <w:sz w:val="21"/>
                      <w:szCs w:val="20"/>
                      <w:lang w:val="zh-CN" w:bidi="zh-CN"/>
                    </w:rPr>
                    <w:t>项目名称</w:t>
                  </w:r>
                </w:p>
              </w:tc>
              <w:tc>
                <w:tcPr>
                  <w:tcW w:w="1743" w:type="dxa"/>
                  <w:vAlign w:val="center"/>
                </w:tcPr>
                <w:p>
                  <w:pPr>
                    <w:adjustRightInd w:val="0"/>
                    <w:snapToGrid w:val="0"/>
                    <w:spacing w:before="24" w:beforeLines="10" w:after="24" w:afterLines="10" w:line="259" w:lineRule="auto"/>
                    <w:jc w:val="center"/>
                    <w:rPr>
                      <w:rFonts w:ascii="宋体"/>
                      <w:b/>
                      <w:bCs/>
                      <w:kern w:val="0"/>
                      <w:sz w:val="21"/>
                      <w:szCs w:val="20"/>
                      <w:lang w:val="zh-CN" w:bidi="zh-CN"/>
                    </w:rPr>
                  </w:pPr>
                  <w:r>
                    <w:rPr>
                      <w:rFonts w:hint="eastAsia" w:ascii="宋体"/>
                      <w:b/>
                      <w:bCs/>
                      <w:kern w:val="0"/>
                      <w:sz w:val="21"/>
                      <w:szCs w:val="20"/>
                      <w:lang w:val="zh-CN" w:bidi="zh-CN"/>
                    </w:rPr>
                    <w:t>批复文号</w:t>
                  </w:r>
                </w:p>
              </w:tc>
              <w:tc>
                <w:tcPr>
                  <w:tcW w:w="2257" w:type="dxa"/>
                  <w:vAlign w:val="center"/>
                </w:tcPr>
                <w:p>
                  <w:pPr>
                    <w:adjustRightInd w:val="0"/>
                    <w:snapToGrid w:val="0"/>
                    <w:spacing w:before="24" w:beforeLines="10" w:after="24" w:afterLines="10" w:line="259" w:lineRule="auto"/>
                    <w:jc w:val="center"/>
                    <w:rPr>
                      <w:rFonts w:ascii="宋体"/>
                      <w:b/>
                      <w:bCs/>
                      <w:kern w:val="0"/>
                      <w:sz w:val="21"/>
                      <w:szCs w:val="20"/>
                      <w:lang w:val="zh-CN" w:bidi="zh-CN"/>
                    </w:rPr>
                  </w:pPr>
                  <w:r>
                    <w:rPr>
                      <w:rFonts w:hint="eastAsia" w:ascii="宋体"/>
                      <w:b/>
                      <w:bCs/>
                      <w:kern w:val="0"/>
                      <w:sz w:val="21"/>
                      <w:szCs w:val="20"/>
                      <w:lang w:val="zh-CN" w:bidi="zh-CN"/>
                    </w:rPr>
                    <w:t>验收时间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39" w:hRule="atLeast"/>
              </w:trPr>
              <w:tc>
                <w:tcPr>
                  <w:tcW w:w="881" w:type="dxa"/>
                  <w:vAlign w:val="center"/>
                </w:tcPr>
                <w:p>
                  <w:pPr>
                    <w:adjustRightInd w:val="0"/>
                    <w:snapToGrid w:val="0"/>
                    <w:spacing w:before="24" w:beforeLines="10" w:after="24" w:afterLines="10" w:line="259" w:lineRule="auto"/>
                    <w:jc w:val="center"/>
                    <w:rPr>
                      <w:rFonts w:ascii="宋体"/>
                      <w:kern w:val="0"/>
                      <w:sz w:val="21"/>
                      <w:szCs w:val="20"/>
                      <w:lang w:val="zh-CN" w:bidi="zh-CN"/>
                    </w:rPr>
                  </w:pPr>
                  <w:r>
                    <w:rPr>
                      <w:rFonts w:ascii="宋体"/>
                      <w:kern w:val="0"/>
                      <w:sz w:val="21"/>
                      <w:szCs w:val="20"/>
                      <w:lang w:val="zh-CN" w:bidi="zh-CN"/>
                    </w:rPr>
                    <w:t>1</w:t>
                  </w:r>
                </w:p>
              </w:tc>
              <w:tc>
                <w:tcPr>
                  <w:tcW w:w="2897" w:type="dxa"/>
                  <w:vAlign w:val="center"/>
                </w:tcPr>
                <w:p>
                  <w:pPr>
                    <w:adjustRightInd w:val="0"/>
                    <w:snapToGrid w:val="0"/>
                    <w:spacing w:before="24" w:beforeLines="10" w:after="24" w:afterLines="10" w:line="259" w:lineRule="auto"/>
                    <w:jc w:val="center"/>
                    <w:rPr>
                      <w:rFonts w:ascii="宋体"/>
                      <w:kern w:val="0"/>
                      <w:sz w:val="21"/>
                      <w:szCs w:val="20"/>
                      <w:lang w:val="zh-CN" w:bidi="zh-CN"/>
                    </w:rPr>
                  </w:pPr>
                  <w:r>
                    <w:rPr>
                      <w:rFonts w:hint="eastAsia" w:ascii="宋体"/>
                      <w:kern w:val="0"/>
                      <w:sz w:val="21"/>
                      <w:szCs w:val="20"/>
                      <w:lang w:val="zh-CN" w:bidi="zh-CN"/>
                    </w:rPr>
                    <w:t>新疆鑫汇众新型板业有限公司年产1</w:t>
                  </w:r>
                  <w:r>
                    <w:rPr>
                      <w:rFonts w:ascii="宋体"/>
                      <w:kern w:val="0"/>
                      <w:sz w:val="21"/>
                      <w:szCs w:val="20"/>
                      <w:lang w:val="zh-CN" w:bidi="zh-CN"/>
                    </w:rPr>
                    <w:t>0</w:t>
                  </w:r>
                  <w:r>
                    <w:rPr>
                      <w:rFonts w:hint="eastAsia" w:ascii="宋体"/>
                      <w:kern w:val="0"/>
                      <w:sz w:val="21"/>
                      <w:szCs w:val="20"/>
                      <w:lang w:val="zh-CN" w:bidi="zh-CN"/>
                    </w:rPr>
                    <w:t>万方刨花板项目</w:t>
                  </w:r>
                </w:p>
              </w:tc>
              <w:tc>
                <w:tcPr>
                  <w:tcW w:w="1743" w:type="dxa"/>
                  <w:vAlign w:val="center"/>
                </w:tcPr>
                <w:p>
                  <w:pPr>
                    <w:adjustRightInd w:val="0"/>
                    <w:snapToGrid w:val="0"/>
                    <w:spacing w:before="24" w:beforeLines="10" w:after="24" w:afterLines="10" w:line="259" w:lineRule="auto"/>
                    <w:jc w:val="center"/>
                    <w:rPr>
                      <w:rFonts w:ascii="宋体"/>
                      <w:kern w:val="0"/>
                      <w:sz w:val="21"/>
                      <w:szCs w:val="20"/>
                      <w:lang w:val="zh-CN" w:bidi="zh-CN"/>
                    </w:rPr>
                  </w:pPr>
                  <w:r>
                    <w:rPr>
                      <w:rFonts w:hint="eastAsia" w:ascii="宋体"/>
                      <w:kern w:val="0"/>
                      <w:sz w:val="21"/>
                      <w:szCs w:val="20"/>
                      <w:lang w:val="zh-CN" w:bidi="zh-CN"/>
                    </w:rPr>
                    <w:t>昌高环管字[</w:t>
                  </w:r>
                  <w:r>
                    <w:rPr>
                      <w:rFonts w:ascii="宋体"/>
                      <w:kern w:val="0"/>
                      <w:sz w:val="21"/>
                      <w:szCs w:val="20"/>
                      <w:lang w:val="zh-CN" w:bidi="zh-CN"/>
                    </w:rPr>
                    <w:t>2013]002</w:t>
                  </w:r>
                  <w:r>
                    <w:rPr>
                      <w:rFonts w:hint="eastAsia" w:ascii="宋体"/>
                      <w:kern w:val="0"/>
                      <w:sz w:val="21"/>
                      <w:szCs w:val="20"/>
                      <w:lang w:val="zh-CN" w:bidi="zh-CN"/>
                    </w:rPr>
                    <w:t>号</w:t>
                  </w:r>
                </w:p>
              </w:tc>
              <w:tc>
                <w:tcPr>
                  <w:tcW w:w="2257" w:type="dxa"/>
                  <w:vAlign w:val="center"/>
                </w:tcPr>
                <w:p>
                  <w:pPr>
                    <w:adjustRightInd w:val="0"/>
                    <w:snapToGrid w:val="0"/>
                    <w:spacing w:before="24" w:beforeLines="10" w:after="24" w:afterLines="10" w:line="259" w:lineRule="auto"/>
                    <w:jc w:val="center"/>
                    <w:rPr>
                      <w:rFonts w:ascii="宋体"/>
                      <w:kern w:val="0"/>
                      <w:sz w:val="21"/>
                      <w:szCs w:val="20"/>
                      <w:lang w:val="zh-CN" w:bidi="zh-CN"/>
                    </w:rPr>
                  </w:pPr>
                  <w:r>
                    <w:rPr>
                      <w:rFonts w:hint="eastAsia" w:ascii="宋体"/>
                      <w:kern w:val="0"/>
                      <w:sz w:val="21"/>
                      <w:szCs w:val="20"/>
                      <w:lang w:val="zh-CN" w:bidi="zh-CN"/>
                    </w:rPr>
                    <w:t>2</w:t>
                  </w:r>
                  <w:r>
                    <w:rPr>
                      <w:rFonts w:ascii="宋体"/>
                      <w:kern w:val="0"/>
                      <w:sz w:val="21"/>
                      <w:szCs w:val="20"/>
                      <w:lang w:val="zh-CN" w:bidi="zh-CN"/>
                    </w:rPr>
                    <w:t>014</w:t>
                  </w:r>
                  <w:r>
                    <w:rPr>
                      <w:rFonts w:hint="eastAsia" w:ascii="宋体"/>
                      <w:kern w:val="0"/>
                      <w:sz w:val="21"/>
                      <w:szCs w:val="20"/>
                      <w:lang w:val="zh-CN" w:bidi="zh-CN"/>
                    </w:rPr>
                    <w:t>年</w:t>
                  </w:r>
                  <w:r>
                    <w:rPr>
                      <w:rFonts w:ascii="宋体"/>
                      <w:kern w:val="0"/>
                      <w:sz w:val="21"/>
                      <w:szCs w:val="20"/>
                      <w:lang w:val="zh-CN" w:bidi="zh-CN"/>
                    </w:rPr>
                    <w:t>2</w:t>
                  </w:r>
                  <w:r>
                    <w:rPr>
                      <w:rFonts w:hint="eastAsia" w:ascii="宋体"/>
                      <w:kern w:val="0"/>
                      <w:sz w:val="21"/>
                      <w:szCs w:val="20"/>
                      <w:lang w:val="zh-CN" w:bidi="zh-CN"/>
                    </w:rPr>
                    <w:t>月</w:t>
                  </w:r>
                </w:p>
              </w:tc>
            </w:tr>
          </w:tbl>
          <w:p>
            <w:pPr>
              <w:snapToGrid w:val="0"/>
              <w:spacing w:before="120" w:beforeLines="50" w:line="360" w:lineRule="auto"/>
              <w:ind w:firstLine="482"/>
              <w:rPr>
                <w:b/>
                <w:bCs/>
                <w:kern w:val="0"/>
                <w:lang w:bidi="zh-CN"/>
              </w:rPr>
            </w:pPr>
            <w:r>
              <w:rPr>
                <w:b/>
                <w:bCs/>
                <w:kern w:val="0"/>
                <w:lang w:bidi="zh-CN"/>
              </w:rPr>
              <w:t>2、现有工程组成</w:t>
            </w:r>
          </w:p>
          <w:p>
            <w:pPr>
              <w:snapToGrid w:val="0"/>
              <w:spacing w:line="360" w:lineRule="auto"/>
              <w:ind w:firstLine="480"/>
              <w:rPr>
                <w:kern w:val="0"/>
                <w:lang w:bidi="zh-CN"/>
              </w:rPr>
            </w:pPr>
            <w:r>
              <w:rPr>
                <w:kern w:val="0"/>
                <w:lang w:bidi="zh-CN"/>
              </w:rPr>
              <w:t>企业</w:t>
            </w:r>
            <w:r>
              <w:rPr>
                <w:rFonts w:hint="eastAsia"/>
                <w:kern w:val="0"/>
                <w:lang w:bidi="zh-CN"/>
              </w:rPr>
              <w:t>占地面积</w:t>
            </w:r>
            <w:r>
              <w:rPr>
                <w:kern w:val="0"/>
                <w:lang w:bidi="zh-CN"/>
              </w:rPr>
              <w:t>10239</w:t>
            </w:r>
            <w:r>
              <w:rPr>
                <w:rFonts w:hint="eastAsia"/>
                <w:kern w:val="0"/>
                <w:lang w:bidi="zh-CN"/>
              </w:rPr>
              <w:t>.</w:t>
            </w:r>
            <w:r>
              <w:rPr>
                <w:kern w:val="0"/>
                <w:lang w:bidi="zh-CN"/>
              </w:rPr>
              <w:t>24</w:t>
            </w:r>
            <w:r>
              <w:rPr>
                <w:rFonts w:hint="eastAsia"/>
                <w:kern w:val="0"/>
                <w:lang w:bidi="zh-CN"/>
              </w:rPr>
              <w:t>m</w:t>
            </w:r>
            <w:r>
              <w:rPr>
                <w:rFonts w:hint="eastAsia"/>
                <w:kern w:val="0"/>
                <w:vertAlign w:val="superscript"/>
                <w:lang w:bidi="zh-CN"/>
              </w:rPr>
              <w:t>2</w:t>
            </w:r>
            <w:r>
              <w:rPr>
                <w:rFonts w:hint="eastAsia"/>
                <w:kern w:val="0"/>
                <w:lang w:bidi="zh-CN"/>
              </w:rPr>
              <w:t>，总建筑面积</w:t>
            </w:r>
            <w:r>
              <w:rPr>
                <w:kern w:val="0"/>
                <w:lang w:bidi="zh-CN"/>
              </w:rPr>
              <w:t>5268</w:t>
            </w:r>
            <w:r>
              <w:rPr>
                <w:rFonts w:hint="eastAsia"/>
                <w:kern w:val="0"/>
                <w:lang w:bidi="zh-CN"/>
              </w:rPr>
              <w:t>.</w:t>
            </w:r>
            <w:r>
              <w:rPr>
                <w:kern w:val="0"/>
                <w:lang w:bidi="zh-CN"/>
              </w:rPr>
              <w:t>03</w:t>
            </w:r>
            <w:r>
              <w:rPr>
                <w:rFonts w:hint="eastAsia"/>
                <w:kern w:val="0"/>
                <w:lang w:bidi="zh-CN"/>
              </w:rPr>
              <w:t>m</w:t>
            </w:r>
            <w:r>
              <w:rPr>
                <w:rFonts w:hint="eastAsia"/>
                <w:kern w:val="0"/>
                <w:vertAlign w:val="superscript"/>
                <w:lang w:bidi="zh-CN"/>
              </w:rPr>
              <w:t>2</w:t>
            </w:r>
            <w:r>
              <w:rPr>
                <w:kern w:val="0"/>
                <w:lang w:bidi="zh-CN"/>
              </w:rPr>
              <w:t>。</w:t>
            </w:r>
          </w:p>
          <w:p>
            <w:pPr>
              <w:snapToGrid w:val="0"/>
              <w:spacing w:line="360" w:lineRule="auto"/>
              <w:jc w:val="center"/>
              <w:rPr>
                <w:b/>
                <w:kern w:val="0"/>
                <w:sz w:val="21"/>
                <w:szCs w:val="21"/>
                <w:lang w:bidi="zh-CN"/>
              </w:rPr>
            </w:pPr>
            <w:r>
              <w:rPr>
                <w:b/>
                <w:kern w:val="0"/>
                <w:sz w:val="21"/>
                <w:szCs w:val="21"/>
                <w:lang w:bidi="zh-CN"/>
              </w:rPr>
              <w:t>表2</w:t>
            </w:r>
            <w:r>
              <w:rPr>
                <w:rFonts w:hint="eastAsia"/>
                <w:b/>
                <w:kern w:val="0"/>
                <w:sz w:val="21"/>
                <w:szCs w:val="21"/>
                <w:lang w:bidi="zh-CN"/>
              </w:rPr>
              <w:t>-</w:t>
            </w:r>
            <w:r>
              <w:rPr>
                <w:b/>
                <w:kern w:val="0"/>
                <w:sz w:val="21"/>
                <w:szCs w:val="21"/>
                <w:lang w:bidi="zh-CN"/>
              </w:rPr>
              <w:t>9</w:t>
            </w:r>
            <w:r>
              <w:rPr>
                <w:b/>
                <w:kern w:val="0"/>
                <w:sz w:val="21"/>
                <w:szCs w:val="21"/>
                <w:lang w:bidi="zh-CN"/>
              </w:rPr>
              <w:tab/>
            </w:r>
            <w:r>
              <w:rPr>
                <w:b/>
                <w:kern w:val="0"/>
                <w:sz w:val="21"/>
                <w:szCs w:val="21"/>
                <w:lang w:bidi="zh-CN"/>
              </w:rPr>
              <w:t>现有工程组成一览表</w:t>
            </w:r>
          </w:p>
          <w:tbl>
            <w:tblPr>
              <w:tblStyle w:val="50"/>
              <w:tblW w:w="462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2"/>
              <w:gridCol w:w="1245"/>
              <w:gridCol w:w="581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85" w:hRule="atLeast"/>
                <w:jc w:val="center"/>
              </w:trPr>
              <w:tc>
                <w:tcPr>
                  <w:tcW w:w="470" w:type="pct"/>
                  <w:vAlign w:val="center"/>
                </w:tcPr>
                <w:p>
                  <w:pPr>
                    <w:snapToGrid w:val="0"/>
                    <w:jc w:val="center"/>
                    <w:rPr>
                      <w:b/>
                      <w:bCs/>
                      <w:sz w:val="21"/>
                      <w:szCs w:val="21"/>
                    </w:rPr>
                  </w:pPr>
                  <w:r>
                    <w:rPr>
                      <w:b/>
                      <w:bCs/>
                      <w:sz w:val="21"/>
                      <w:szCs w:val="21"/>
                    </w:rPr>
                    <w:t>名称</w:t>
                  </w:r>
                </w:p>
              </w:tc>
              <w:tc>
                <w:tcPr>
                  <w:tcW w:w="799" w:type="pct"/>
                  <w:vAlign w:val="center"/>
                </w:tcPr>
                <w:p>
                  <w:pPr>
                    <w:snapToGrid w:val="0"/>
                    <w:jc w:val="center"/>
                    <w:rPr>
                      <w:b/>
                      <w:bCs/>
                      <w:sz w:val="21"/>
                      <w:szCs w:val="21"/>
                    </w:rPr>
                  </w:pPr>
                  <w:r>
                    <w:rPr>
                      <w:b/>
                      <w:bCs/>
                      <w:sz w:val="21"/>
                      <w:szCs w:val="21"/>
                    </w:rPr>
                    <w:t>项目</w:t>
                  </w:r>
                </w:p>
              </w:tc>
              <w:tc>
                <w:tcPr>
                  <w:tcW w:w="3731" w:type="pct"/>
                  <w:vAlign w:val="center"/>
                </w:tcPr>
                <w:p>
                  <w:pPr>
                    <w:snapToGrid w:val="0"/>
                    <w:jc w:val="center"/>
                    <w:rPr>
                      <w:b/>
                      <w:bCs/>
                      <w:sz w:val="21"/>
                      <w:szCs w:val="21"/>
                    </w:rPr>
                  </w:pPr>
                  <w:r>
                    <w:rPr>
                      <w:b/>
                      <w:bCs/>
                      <w:sz w:val="21"/>
                      <w:szCs w:val="21"/>
                    </w:rPr>
                    <w:t>规模及建设内容</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70" w:type="pct"/>
                  <w:vMerge w:val="restart"/>
                  <w:vAlign w:val="center"/>
                </w:tcPr>
                <w:p>
                  <w:pPr>
                    <w:snapToGrid w:val="0"/>
                    <w:jc w:val="center"/>
                    <w:rPr>
                      <w:sz w:val="21"/>
                      <w:szCs w:val="21"/>
                    </w:rPr>
                  </w:pPr>
                  <w:r>
                    <w:rPr>
                      <w:rFonts w:hint="eastAsia"/>
                      <w:sz w:val="21"/>
                      <w:szCs w:val="21"/>
                    </w:rPr>
                    <w:t>主体工程</w:t>
                  </w:r>
                </w:p>
              </w:tc>
              <w:tc>
                <w:tcPr>
                  <w:tcW w:w="799" w:type="pct"/>
                  <w:vAlign w:val="center"/>
                </w:tcPr>
                <w:p>
                  <w:pPr>
                    <w:snapToGrid w:val="0"/>
                    <w:jc w:val="center"/>
                    <w:rPr>
                      <w:sz w:val="21"/>
                      <w:szCs w:val="21"/>
                    </w:rPr>
                  </w:pPr>
                  <w:r>
                    <w:rPr>
                      <w:rFonts w:hint="eastAsia"/>
                      <w:sz w:val="21"/>
                      <w:szCs w:val="21"/>
                    </w:rPr>
                    <w:t>刨花车间</w:t>
                  </w:r>
                </w:p>
              </w:tc>
              <w:tc>
                <w:tcPr>
                  <w:tcW w:w="3731" w:type="pct"/>
                  <w:vAlign w:val="center"/>
                </w:tcPr>
                <w:p>
                  <w:pPr>
                    <w:snapToGrid w:val="0"/>
                    <w:jc w:val="center"/>
                    <w:rPr>
                      <w:sz w:val="21"/>
                      <w:szCs w:val="21"/>
                    </w:rPr>
                  </w:pPr>
                  <w:r>
                    <w:rPr>
                      <w:rFonts w:hint="eastAsia"/>
                      <w:sz w:val="21"/>
                      <w:szCs w:val="21"/>
                    </w:rPr>
                    <w:t>1层，建筑面积2</w:t>
                  </w:r>
                  <w:r>
                    <w:rPr>
                      <w:sz w:val="21"/>
                      <w:szCs w:val="21"/>
                    </w:rPr>
                    <w:t>400</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热风干燥车间</w:t>
                  </w:r>
                </w:p>
              </w:tc>
              <w:tc>
                <w:tcPr>
                  <w:tcW w:w="3731" w:type="pct"/>
                  <w:vAlign w:val="center"/>
                </w:tcPr>
                <w:p>
                  <w:pPr>
                    <w:snapToGrid w:val="0"/>
                    <w:jc w:val="center"/>
                    <w:rPr>
                      <w:sz w:val="21"/>
                      <w:szCs w:val="21"/>
                    </w:rPr>
                  </w:pPr>
                  <w:r>
                    <w:rPr>
                      <w:rFonts w:hint="eastAsia"/>
                      <w:sz w:val="21"/>
                      <w:szCs w:val="21"/>
                    </w:rPr>
                    <w:t>1层，建筑面积2</w:t>
                  </w:r>
                  <w:r>
                    <w:rPr>
                      <w:sz w:val="21"/>
                      <w:szCs w:val="21"/>
                    </w:rPr>
                    <w:t>226</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施胶车间</w:t>
                  </w:r>
                </w:p>
              </w:tc>
              <w:tc>
                <w:tcPr>
                  <w:tcW w:w="3731" w:type="pct"/>
                  <w:vAlign w:val="center"/>
                </w:tcPr>
                <w:p>
                  <w:pPr>
                    <w:snapToGrid w:val="0"/>
                    <w:jc w:val="center"/>
                    <w:rPr>
                      <w:sz w:val="21"/>
                      <w:szCs w:val="21"/>
                    </w:rPr>
                  </w:pPr>
                  <w:r>
                    <w:rPr>
                      <w:rFonts w:hint="eastAsia"/>
                      <w:sz w:val="21"/>
                      <w:szCs w:val="21"/>
                    </w:rPr>
                    <w:t>1层，建筑面积</w:t>
                  </w:r>
                  <w:r>
                    <w:rPr>
                      <w:sz w:val="21"/>
                      <w:szCs w:val="21"/>
                    </w:rPr>
                    <w:t>850</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制胶车间</w:t>
                  </w:r>
                </w:p>
              </w:tc>
              <w:tc>
                <w:tcPr>
                  <w:tcW w:w="3731" w:type="pct"/>
                  <w:vAlign w:val="center"/>
                </w:tcPr>
                <w:p>
                  <w:pPr>
                    <w:snapToGrid w:val="0"/>
                    <w:jc w:val="center"/>
                    <w:rPr>
                      <w:sz w:val="21"/>
                      <w:szCs w:val="21"/>
                    </w:rPr>
                  </w:pPr>
                  <w:r>
                    <w:rPr>
                      <w:rFonts w:hint="eastAsia"/>
                      <w:sz w:val="21"/>
                      <w:szCs w:val="21"/>
                    </w:rPr>
                    <w:t>1层，建筑面积</w:t>
                  </w:r>
                  <w:r>
                    <w:rPr>
                      <w:sz w:val="21"/>
                      <w:szCs w:val="21"/>
                    </w:rPr>
                    <w:t>2100</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05"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砂光车间</w:t>
                  </w:r>
                </w:p>
              </w:tc>
              <w:tc>
                <w:tcPr>
                  <w:tcW w:w="3731" w:type="pct"/>
                  <w:vAlign w:val="center"/>
                </w:tcPr>
                <w:p>
                  <w:pPr>
                    <w:snapToGrid w:val="0"/>
                    <w:jc w:val="center"/>
                    <w:rPr>
                      <w:sz w:val="21"/>
                      <w:szCs w:val="21"/>
                    </w:rPr>
                  </w:pPr>
                  <w:r>
                    <w:rPr>
                      <w:rFonts w:hint="eastAsia"/>
                      <w:sz w:val="21"/>
                      <w:szCs w:val="21"/>
                    </w:rPr>
                    <w:t>1层，建筑面积</w:t>
                  </w:r>
                  <w:r>
                    <w:rPr>
                      <w:sz w:val="21"/>
                      <w:szCs w:val="21"/>
                    </w:rPr>
                    <w:t>980</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restart"/>
                  <w:vAlign w:val="center"/>
                </w:tcPr>
                <w:p>
                  <w:pPr>
                    <w:snapToGrid w:val="0"/>
                    <w:jc w:val="center"/>
                    <w:rPr>
                      <w:sz w:val="21"/>
                      <w:szCs w:val="21"/>
                    </w:rPr>
                  </w:pPr>
                  <w:r>
                    <w:rPr>
                      <w:sz w:val="21"/>
                      <w:szCs w:val="21"/>
                    </w:rPr>
                    <w:t>辅助工程</w:t>
                  </w:r>
                </w:p>
              </w:tc>
              <w:tc>
                <w:tcPr>
                  <w:tcW w:w="799" w:type="pct"/>
                  <w:vAlign w:val="center"/>
                </w:tcPr>
                <w:p>
                  <w:pPr>
                    <w:snapToGrid w:val="0"/>
                    <w:jc w:val="center"/>
                    <w:rPr>
                      <w:sz w:val="21"/>
                      <w:szCs w:val="21"/>
                    </w:rPr>
                  </w:pPr>
                  <w:r>
                    <w:rPr>
                      <w:rFonts w:hint="eastAsia"/>
                      <w:sz w:val="21"/>
                      <w:szCs w:val="21"/>
                    </w:rPr>
                    <w:t>原料堆场</w:t>
                  </w:r>
                </w:p>
              </w:tc>
              <w:tc>
                <w:tcPr>
                  <w:tcW w:w="3731" w:type="pct"/>
                  <w:vAlign w:val="center"/>
                </w:tcPr>
                <w:p>
                  <w:pPr>
                    <w:snapToGrid w:val="0"/>
                    <w:jc w:val="center"/>
                    <w:rPr>
                      <w:sz w:val="21"/>
                      <w:szCs w:val="21"/>
                    </w:rPr>
                  </w:pPr>
                  <w:r>
                    <w:rPr>
                      <w:rFonts w:hint="eastAsia"/>
                      <w:sz w:val="21"/>
                      <w:szCs w:val="21"/>
                    </w:rPr>
                    <w:t>1层，建筑面积2</w:t>
                  </w:r>
                  <w:r>
                    <w:rPr>
                      <w:sz w:val="21"/>
                      <w:szCs w:val="21"/>
                    </w:rPr>
                    <w:t>845</w:t>
                  </w:r>
                  <w:r>
                    <w:rPr>
                      <w:rFonts w:hint="eastAsia"/>
                      <w:sz w:val="21"/>
                      <w:szCs w:val="21"/>
                    </w:rPr>
                    <w:t>m</w:t>
                  </w:r>
                  <w:r>
                    <w:rPr>
                      <w:sz w:val="21"/>
                      <w:szCs w:val="21"/>
                      <w:vertAlign w:val="superscript"/>
                    </w:rPr>
                    <w:t>2</w:t>
                  </w:r>
                  <w:r>
                    <w:rPr>
                      <w:rFonts w:hint="eastAsia"/>
                      <w:sz w:val="21"/>
                      <w:szCs w:val="21"/>
                    </w:rPr>
                    <w:t>，简易工棚</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尿素储存区</w:t>
                  </w:r>
                </w:p>
              </w:tc>
              <w:tc>
                <w:tcPr>
                  <w:tcW w:w="3731" w:type="pct"/>
                  <w:vAlign w:val="center"/>
                </w:tcPr>
                <w:p>
                  <w:pPr>
                    <w:snapToGrid w:val="0"/>
                    <w:jc w:val="center"/>
                    <w:rPr>
                      <w:sz w:val="21"/>
                      <w:szCs w:val="21"/>
                    </w:rPr>
                  </w:pPr>
                  <w:r>
                    <w:rPr>
                      <w:rFonts w:hint="eastAsia"/>
                      <w:sz w:val="21"/>
                      <w:szCs w:val="21"/>
                    </w:rPr>
                    <w:t>1层，建筑面积</w:t>
                  </w:r>
                  <w:r>
                    <w:rPr>
                      <w:sz w:val="21"/>
                      <w:szCs w:val="21"/>
                    </w:rPr>
                    <w:t>210</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sz w:val="21"/>
                      <w:szCs w:val="21"/>
                    </w:rPr>
                    <w:t>成品库</w:t>
                  </w:r>
                </w:p>
              </w:tc>
              <w:tc>
                <w:tcPr>
                  <w:tcW w:w="3731" w:type="pct"/>
                  <w:vAlign w:val="center"/>
                </w:tcPr>
                <w:p>
                  <w:pPr>
                    <w:snapToGrid w:val="0"/>
                    <w:jc w:val="center"/>
                    <w:rPr>
                      <w:sz w:val="21"/>
                      <w:szCs w:val="21"/>
                    </w:rPr>
                  </w:pPr>
                  <w:r>
                    <w:rPr>
                      <w:rFonts w:hint="eastAsia"/>
                      <w:sz w:val="21"/>
                      <w:szCs w:val="21"/>
                    </w:rPr>
                    <w:t>1层，建筑面积2</w:t>
                  </w:r>
                  <w:r>
                    <w:rPr>
                      <w:sz w:val="21"/>
                      <w:szCs w:val="21"/>
                    </w:rPr>
                    <w:t>880</w:t>
                  </w:r>
                  <w:r>
                    <w:rPr>
                      <w:rFonts w:hint="eastAsia"/>
                      <w:sz w:val="21"/>
                      <w:szCs w:val="21"/>
                    </w:rPr>
                    <w:t>m</w:t>
                  </w:r>
                  <w:r>
                    <w:rPr>
                      <w:sz w:val="21"/>
                      <w:szCs w:val="21"/>
                      <w:vertAlign w:val="superscript"/>
                    </w:rPr>
                    <w:t>2</w:t>
                  </w:r>
                  <w:r>
                    <w:rPr>
                      <w:rFonts w:hint="eastAsia"/>
                      <w:sz w:val="21"/>
                      <w:szCs w:val="21"/>
                    </w:rPr>
                    <w:t>，轻钢结构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sz w:val="21"/>
                      <w:szCs w:val="21"/>
                    </w:rPr>
                    <w:t>办公</w:t>
                  </w:r>
                  <w:r>
                    <w:rPr>
                      <w:rFonts w:hint="eastAsia"/>
                      <w:sz w:val="21"/>
                      <w:szCs w:val="21"/>
                    </w:rPr>
                    <w:t>生活区</w:t>
                  </w:r>
                </w:p>
              </w:tc>
              <w:tc>
                <w:tcPr>
                  <w:tcW w:w="3731" w:type="pct"/>
                  <w:vAlign w:val="center"/>
                </w:tcPr>
                <w:p>
                  <w:pPr>
                    <w:snapToGrid w:val="0"/>
                    <w:jc w:val="center"/>
                    <w:rPr>
                      <w:sz w:val="21"/>
                      <w:szCs w:val="21"/>
                    </w:rPr>
                  </w:pPr>
                  <w:r>
                    <w:rPr>
                      <w:rFonts w:hint="eastAsia"/>
                      <w:sz w:val="21"/>
                      <w:szCs w:val="21"/>
                    </w:rPr>
                    <w:t>2层，建筑面积</w:t>
                  </w:r>
                  <w:r>
                    <w:rPr>
                      <w:sz w:val="21"/>
                      <w:szCs w:val="21"/>
                    </w:rPr>
                    <w:t>1100</w:t>
                  </w:r>
                  <w:r>
                    <w:rPr>
                      <w:rFonts w:hint="eastAsia"/>
                      <w:sz w:val="21"/>
                      <w:szCs w:val="21"/>
                    </w:rPr>
                    <w:t>m</w:t>
                  </w:r>
                  <w:r>
                    <w:rPr>
                      <w:sz w:val="21"/>
                      <w:szCs w:val="21"/>
                      <w:vertAlign w:val="superscript"/>
                    </w:rPr>
                    <w:t>2</w:t>
                  </w:r>
                  <w:r>
                    <w:rPr>
                      <w:rFonts w:hint="eastAsia"/>
                      <w:sz w:val="21"/>
                      <w:szCs w:val="21"/>
                    </w:rPr>
                    <w:t>，砖混结构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sz w:val="21"/>
                      <w:szCs w:val="21"/>
                    </w:rPr>
                    <w:t>锅炉房</w:t>
                  </w:r>
                  <w:r>
                    <w:rPr>
                      <w:rFonts w:hint="eastAsia"/>
                      <w:sz w:val="21"/>
                      <w:szCs w:val="21"/>
                    </w:rPr>
                    <w:t>/</w:t>
                  </w:r>
                  <w:r>
                    <w:rPr>
                      <w:sz w:val="21"/>
                      <w:szCs w:val="21"/>
                    </w:rPr>
                    <w:t>导热油炉房</w:t>
                  </w:r>
                </w:p>
              </w:tc>
              <w:tc>
                <w:tcPr>
                  <w:tcW w:w="3731" w:type="pct"/>
                  <w:vAlign w:val="center"/>
                </w:tcPr>
                <w:p>
                  <w:pPr>
                    <w:snapToGrid w:val="0"/>
                    <w:jc w:val="center"/>
                    <w:rPr>
                      <w:sz w:val="21"/>
                      <w:szCs w:val="21"/>
                    </w:rPr>
                  </w:pPr>
                  <w:r>
                    <w:rPr>
                      <w:rFonts w:hint="eastAsia"/>
                      <w:sz w:val="21"/>
                      <w:szCs w:val="21"/>
                    </w:rPr>
                    <w:t>1层，建筑面积2</w:t>
                  </w:r>
                  <w:r>
                    <w:rPr>
                      <w:sz w:val="21"/>
                      <w:szCs w:val="21"/>
                    </w:rPr>
                    <w:t>10</w:t>
                  </w:r>
                  <w:r>
                    <w:rPr>
                      <w:rFonts w:hint="eastAsia"/>
                      <w:sz w:val="21"/>
                      <w:szCs w:val="21"/>
                    </w:rPr>
                    <w:t>m</w:t>
                  </w:r>
                  <w:r>
                    <w:rPr>
                      <w:sz w:val="21"/>
                      <w:szCs w:val="21"/>
                      <w:vertAlign w:val="superscript"/>
                    </w:rPr>
                    <w:t>2</w:t>
                  </w:r>
                  <w:r>
                    <w:rPr>
                      <w:rFonts w:hint="eastAsia"/>
                      <w:sz w:val="21"/>
                      <w:szCs w:val="21"/>
                    </w:rPr>
                    <w:t>，轻钢结构，内设天然气导热油锅炉一台</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配件库及机修间</w:t>
                  </w:r>
                </w:p>
              </w:tc>
              <w:tc>
                <w:tcPr>
                  <w:tcW w:w="3731" w:type="pct"/>
                  <w:vAlign w:val="center"/>
                </w:tcPr>
                <w:p>
                  <w:pPr>
                    <w:snapToGrid w:val="0"/>
                    <w:jc w:val="center"/>
                    <w:rPr>
                      <w:sz w:val="21"/>
                      <w:szCs w:val="21"/>
                    </w:rPr>
                  </w:pPr>
                  <w:r>
                    <w:rPr>
                      <w:rFonts w:hint="eastAsia"/>
                      <w:sz w:val="21"/>
                      <w:szCs w:val="21"/>
                    </w:rPr>
                    <w:t>1层，建筑面积1</w:t>
                  </w:r>
                  <w:r>
                    <w:rPr>
                      <w:sz w:val="21"/>
                      <w:szCs w:val="21"/>
                    </w:rPr>
                    <w:t>20</w:t>
                  </w:r>
                  <w:r>
                    <w:rPr>
                      <w:rFonts w:hint="eastAsia"/>
                      <w:sz w:val="21"/>
                      <w:szCs w:val="21"/>
                    </w:rPr>
                    <w:t>m</w:t>
                  </w:r>
                  <w:r>
                    <w:rPr>
                      <w:sz w:val="21"/>
                      <w:szCs w:val="21"/>
                      <w:vertAlign w:val="superscript"/>
                    </w:rPr>
                    <w:t>2</w:t>
                  </w:r>
                  <w:r>
                    <w:rPr>
                      <w:rFonts w:hint="eastAsia"/>
                      <w:sz w:val="21"/>
                      <w:szCs w:val="21"/>
                    </w:rPr>
                    <w:t>，砖混结构</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470" w:type="pct"/>
                  <w:vMerge w:val="restart"/>
                  <w:vAlign w:val="center"/>
                </w:tcPr>
                <w:p>
                  <w:pPr>
                    <w:snapToGrid w:val="0"/>
                    <w:jc w:val="center"/>
                    <w:rPr>
                      <w:sz w:val="21"/>
                      <w:szCs w:val="21"/>
                    </w:rPr>
                  </w:pPr>
                  <w:r>
                    <w:rPr>
                      <w:sz w:val="21"/>
                      <w:szCs w:val="21"/>
                    </w:rPr>
                    <w:t>公用工程</w:t>
                  </w:r>
                </w:p>
              </w:tc>
              <w:tc>
                <w:tcPr>
                  <w:tcW w:w="799" w:type="pct"/>
                  <w:vAlign w:val="center"/>
                </w:tcPr>
                <w:p>
                  <w:pPr>
                    <w:snapToGrid w:val="0"/>
                    <w:jc w:val="center"/>
                    <w:rPr>
                      <w:sz w:val="21"/>
                      <w:szCs w:val="21"/>
                    </w:rPr>
                  </w:pPr>
                  <w:r>
                    <w:rPr>
                      <w:sz w:val="21"/>
                      <w:szCs w:val="21"/>
                    </w:rPr>
                    <w:t>供电</w:t>
                  </w:r>
                </w:p>
              </w:tc>
              <w:tc>
                <w:tcPr>
                  <w:tcW w:w="3731" w:type="pct"/>
                  <w:vAlign w:val="center"/>
                </w:tcPr>
                <w:p>
                  <w:pPr>
                    <w:snapToGrid w:val="0"/>
                    <w:jc w:val="center"/>
                    <w:rPr>
                      <w:sz w:val="21"/>
                      <w:szCs w:val="21"/>
                    </w:rPr>
                  </w:pPr>
                  <w:r>
                    <w:rPr>
                      <w:rFonts w:hint="eastAsia"/>
                      <w:sz w:val="21"/>
                      <w:szCs w:val="21"/>
                    </w:rPr>
                    <w:t>依托新疆鑫汇众新型板业有限公司供电管网供给</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供水</w:t>
                  </w:r>
                </w:p>
              </w:tc>
              <w:tc>
                <w:tcPr>
                  <w:tcW w:w="3731" w:type="pct"/>
                  <w:vAlign w:val="center"/>
                </w:tcPr>
                <w:p>
                  <w:pPr>
                    <w:snapToGrid w:val="0"/>
                    <w:jc w:val="center"/>
                    <w:rPr>
                      <w:sz w:val="21"/>
                      <w:szCs w:val="21"/>
                    </w:rPr>
                  </w:pPr>
                  <w:r>
                    <w:rPr>
                      <w:rFonts w:hint="eastAsia"/>
                      <w:sz w:val="21"/>
                      <w:szCs w:val="21"/>
                    </w:rPr>
                    <w:t>依托新疆鑫汇众新型板业有限公司供水管网供给</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rFonts w:hint="eastAsia"/>
                      <w:sz w:val="21"/>
                      <w:szCs w:val="21"/>
                    </w:rPr>
                    <w:t>排水</w:t>
                  </w:r>
                </w:p>
              </w:tc>
              <w:tc>
                <w:tcPr>
                  <w:tcW w:w="3731" w:type="pct"/>
                  <w:vAlign w:val="center"/>
                </w:tcPr>
                <w:p>
                  <w:pPr>
                    <w:snapToGrid w:val="0"/>
                    <w:jc w:val="center"/>
                    <w:rPr>
                      <w:sz w:val="21"/>
                      <w:szCs w:val="21"/>
                    </w:rPr>
                  </w:pPr>
                  <w:r>
                    <w:rPr>
                      <w:rFonts w:hint="eastAsia"/>
                      <w:sz w:val="21"/>
                      <w:szCs w:val="21"/>
                    </w:rPr>
                    <w:t>生活污水经收集后排入化粪池预处理，处理后排入昌吉高新海天污水处理厂处置</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06" w:hRule="atLeast"/>
                <w:jc w:val="center"/>
              </w:trPr>
              <w:tc>
                <w:tcPr>
                  <w:tcW w:w="470" w:type="pct"/>
                  <w:vMerge w:val="restart"/>
                  <w:vAlign w:val="center"/>
                </w:tcPr>
                <w:p>
                  <w:pPr>
                    <w:snapToGrid w:val="0"/>
                    <w:jc w:val="center"/>
                    <w:rPr>
                      <w:sz w:val="21"/>
                      <w:szCs w:val="21"/>
                    </w:rPr>
                  </w:pPr>
                  <w:r>
                    <w:rPr>
                      <w:sz w:val="21"/>
                      <w:szCs w:val="21"/>
                    </w:rPr>
                    <w:t>环保工程</w:t>
                  </w:r>
                </w:p>
              </w:tc>
              <w:tc>
                <w:tcPr>
                  <w:tcW w:w="799" w:type="pct"/>
                  <w:vMerge w:val="restart"/>
                  <w:vAlign w:val="center"/>
                </w:tcPr>
                <w:p>
                  <w:pPr>
                    <w:snapToGrid w:val="0"/>
                    <w:jc w:val="center"/>
                    <w:rPr>
                      <w:sz w:val="21"/>
                      <w:szCs w:val="21"/>
                    </w:rPr>
                  </w:pPr>
                  <w:r>
                    <w:rPr>
                      <w:sz w:val="21"/>
                      <w:szCs w:val="21"/>
                    </w:rPr>
                    <w:t>废气</w:t>
                  </w:r>
                </w:p>
              </w:tc>
              <w:tc>
                <w:tcPr>
                  <w:tcW w:w="3731" w:type="pct"/>
                  <w:vAlign w:val="center"/>
                </w:tcPr>
                <w:p>
                  <w:pPr>
                    <w:snapToGrid w:val="0"/>
                    <w:jc w:val="center"/>
                    <w:rPr>
                      <w:sz w:val="21"/>
                      <w:szCs w:val="21"/>
                    </w:rPr>
                  </w:pPr>
                  <w:r>
                    <w:rPr>
                      <w:rFonts w:hint="eastAsia"/>
                      <w:sz w:val="21"/>
                      <w:szCs w:val="21"/>
                    </w:rPr>
                    <w:t>锅炉废气经排气筒DA</w:t>
                  </w:r>
                  <w:r>
                    <w:rPr>
                      <w:sz w:val="21"/>
                      <w:szCs w:val="21"/>
                    </w:rPr>
                    <w:t>001</w:t>
                  </w:r>
                  <w:r>
                    <w:rPr>
                      <w:rFonts w:hint="eastAsia"/>
                      <w:sz w:val="21"/>
                      <w:szCs w:val="21"/>
                    </w:rPr>
                    <w:t>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723"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干燥阶段废气经袋式除尘器处理后，引至排气筒DA</w:t>
                  </w:r>
                  <w:r>
                    <w:rPr>
                      <w:sz w:val="21"/>
                      <w:szCs w:val="21"/>
                    </w:rPr>
                    <w:t>002</w:t>
                  </w:r>
                  <w:r>
                    <w:rPr>
                      <w:rFonts w:hint="eastAsia"/>
                      <w:sz w:val="21"/>
                      <w:szCs w:val="21"/>
                    </w:rPr>
                    <w:t>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534"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刨片阶段废气经袋式除尘器处理后引至排气筒DA</w:t>
                  </w:r>
                  <w:r>
                    <w:rPr>
                      <w:sz w:val="21"/>
                      <w:szCs w:val="21"/>
                    </w:rPr>
                    <w:t>004</w:t>
                  </w:r>
                  <w:r>
                    <w:rPr>
                      <w:rFonts w:hint="eastAsia"/>
                      <w:sz w:val="21"/>
                      <w:szCs w:val="21"/>
                    </w:rPr>
                    <w:t>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723"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施胶、铺装、预压、热压、截断工序废气经UV光氧+活性炭吸附装置+水幕除尘装置处理后引至排气筒DA</w:t>
                  </w:r>
                  <w:r>
                    <w:rPr>
                      <w:sz w:val="21"/>
                      <w:szCs w:val="21"/>
                    </w:rPr>
                    <w:t>005</w:t>
                  </w:r>
                  <w:r>
                    <w:rPr>
                      <w:rFonts w:hint="eastAsia"/>
                      <w:sz w:val="21"/>
                      <w:szCs w:val="21"/>
                    </w:rPr>
                    <w:t>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723"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制胶工序废气经UV光氧+活性炭吸附装置处理后引至排气筒DA</w:t>
                  </w:r>
                  <w:r>
                    <w:rPr>
                      <w:sz w:val="21"/>
                      <w:szCs w:val="21"/>
                    </w:rPr>
                    <w:t>006排放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723"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砂光废气经2套袋式除尘器处理后引至排气筒DA</w:t>
                  </w:r>
                  <w:r>
                    <w:rPr>
                      <w:sz w:val="21"/>
                      <w:szCs w:val="21"/>
                    </w:rPr>
                    <w:t>007</w:t>
                  </w:r>
                  <w:r>
                    <w:rPr>
                      <w:rFonts w:hint="eastAsia"/>
                      <w:sz w:val="21"/>
                      <w:szCs w:val="21"/>
                    </w:rPr>
                    <w:t>、DA</w:t>
                  </w:r>
                  <w:r>
                    <w:rPr>
                      <w:sz w:val="21"/>
                      <w:szCs w:val="21"/>
                    </w:rPr>
                    <w:t>008排放</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1" w:hRule="atLeast"/>
                <w:jc w:val="center"/>
              </w:trPr>
              <w:tc>
                <w:tcPr>
                  <w:tcW w:w="470" w:type="pct"/>
                  <w:vMerge w:val="continue"/>
                  <w:vAlign w:val="center"/>
                </w:tcPr>
                <w:p>
                  <w:pPr>
                    <w:snapToGrid w:val="0"/>
                    <w:jc w:val="center"/>
                    <w:rPr>
                      <w:sz w:val="21"/>
                      <w:szCs w:val="21"/>
                    </w:rPr>
                  </w:pPr>
                </w:p>
              </w:tc>
              <w:tc>
                <w:tcPr>
                  <w:tcW w:w="799" w:type="pct"/>
                  <w:vAlign w:val="center"/>
                </w:tcPr>
                <w:p>
                  <w:pPr>
                    <w:snapToGrid w:val="0"/>
                    <w:jc w:val="center"/>
                    <w:rPr>
                      <w:sz w:val="21"/>
                      <w:szCs w:val="21"/>
                    </w:rPr>
                  </w:pPr>
                  <w:r>
                    <w:rPr>
                      <w:sz w:val="21"/>
                      <w:szCs w:val="21"/>
                    </w:rPr>
                    <w:t>噪声治理</w:t>
                  </w:r>
                </w:p>
              </w:tc>
              <w:tc>
                <w:tcPr>
                  <w:tcW w:w="3731" w:type="pct"/>
                  <w:vAlign w:val="center"/>
                </w:tcPr>
                <w:p>
                  <w:pPr>
                    <w:snapToGrid w:val="0"/>
                    <w:jc w:val="center"/>
                    <w:rPr>
                      <w:sz w:val="21"/>
                      <w:szCs w:val="21"/>
                    </w:rPr>
                  </w:pPr>
                  <w:r>
                    <w:rPr>
                      <w:rFonts w:hint="eastAsia"/>
                      <w:sz w:val="21"/>
                      <w:szCs w:val="21"/>
                    </w:rPr>
                    <w:t>选用</w:t>
                  </w:r>
                  <w:r>
                    <w:rPr>
                      <w:sz w:val="21"/>
                      <w:szCs w:val="21"/>
                    </w:rPr>
                    <w:t>低噪声设备</w:t>
                  </w:r>
                  <w:r>
                    <w:rPr>
                      <w:rFonts w:hint="eastAsia"/>
                      <w:sz w:val="21"/>
                      <w:szCs w:val="21"/>
                    </w:rPr>
                    <w:t>，</w:t>
                  </w:r>
                  <w:r>
                    <w:rPr>
                      <w:sz w:val="21"/>
                      <w:szCs w:val="21"/>
                    </w:rPr>
                    <w:t>采取墙体隔声</w:t>
                  </w:r>
                  <w:r>
                    <w:rPr>
                      <w:rFonts w:hint="eastAsia"/>
                      <w:sz w:val="21"/>
                      <w:szCs w:val="21"/>
                    </w:rPr>
                    <w:t>、</w:t>
                  </w:r>
                  <w:r>
                    <w:rPr>
                      <w:sz w:val="21"/>
                      <w:szCs w:val="21"/>
                    </w:rPr>
                    <w:t>基础减振装置等措施</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470" w:type="pct"/>
                  <w:vMerge w:val="continue"/>
                  <w:vAlign w:val="center"/>
                </w:tcPr>
                <w:p>
                  <w:pPr>
                    <w:snapToGrid w:val="0"/>
                    <w:jc w:val="center"/>
                    <w:rPr>
                      <w:sz w:val="21"/>
                      <w:szCs w:val="21"/>
                    </w:rPr>
                  </w:pPr>
                </w:p>
              </w:tc>
              <w:tc>
                <w:tcPr>
                  <w:tcW w:w="799" w:type="pct"/>
                  <w:vMerge w:val="restart"/>
                  <w:vAlign w:val="center"/>
                </w:tcPr>
                <w:p>
                  <w:pPr>
                    <w:snapToGrid w:val="0"/>
                    <w:jc w:val="center"/>
                    <w:rPr>
                      <w:sz w:val="21"/>
                      <w:szCs w:val="21"/>
                    </w:rPr>
                  </w:pPr>
                  <w:r>
                    <w:rPr>
                      <w:sz w:val="21"/>
                      <w:szCs w:val="21"/>
                    </w:rPr>
                    <w:t>固废治理</w:t>
                  </w:r>
                </w:p>
              </w:tc>
              <w:tc>
                <w:tcPr>
                  <w:tcW w:w="3731" w:type="pct"/>
                  <w:vAlign w:val="center"/>
                </w:tcPr>
                <w:p>
                  <w:pPr>
                    <w:snapToGrid w:val="0"/>
                    <w:jc w:val="center"/>
                    <w:rPr>
                      <w:sz w:val="21"/>
                      <w:szCs w:val="21"/>
                    </w:rPr>
                  </w:pPr>
                  <w:r>
                    <w:rPr>
                      <w:rFonts w:hint="eastAsia"/>
                      <w:sz w:val="21"/>
                      <w:szCs w:val="21"/>
                    </w:rPr>
                    <w:t>废边角料、不合格品：收集后回用于生产线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0"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除尘器粉尘：收集后回用于生产线</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20"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生活垃圾：经厂区垃圾桶分类收集后，定期委托环卫部门清运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20"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废UV灯管：收集后暂存于危废间，定期委托有资质单位处理</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20" w:hRule="atLeast"/>
                <w:jc w:val="center"/>
              </w:trPr>
              <w:tc>
                <w:tcPr>
                  <w:tcW w:w="470" w:type="pct"/>
                  <w:vMerge w:val="continue"/>
                  <w:vAlign w:val="center"/>
                </w:tcPr>
                <w:p>
                  <w:pPr>
                    <w:snapToGrid w:val="0"/>
                    <w:jc w:val="center"/>
                    <w:rPr>
                      <w:sz w:val="21"/>
                      <w:szCs w:val="21"/>
                    </w:rPr>
                  </w:pPr>
                </w:p>
              </w:tc>
              <w:tc>
                <w:tcPr>
                  <w:tcW w:w="799" w:type="pct"/>
                  <w:vMerge w:val="continue"/>
                  <w:vAlign w:val="center"/>
                </w:tcPr>
                <w:p>
                  <w:pPr>
                    <w:snapToGrid w:val="0"/>
                    <w:jc w:val="center"/>
                    <w:rPr>
                      <w:sz w:val="21"/>
                      <w:szCs w:val="21"/>
                    </w:rPr>
                  </w:pPr>
                </w:p>
              </w:tc>
              <w:tc>
                <w:tcPr>
                  <w:tcW w:w="3731" w:type="pct"/>
                  <w:vAlign w:val="center"/>
                </w:tcPr>
                <w:p>
                  <w:pPr>
                    <w:snapToGrid w:val="0"/>
                    <w:jc w:val="center"/>
                    <w:rPr>
                      <w:sz w:val="21"/>
                      <w:szCs w:val="21"/>
                    </w:rPr>
                  </w:pPr>
                  <w:r>
                    <w:rPr>
                      <w:rFonts w:hint="eastAsia"/>
                      <w:sz w:val="21"/>
                      <w:szCs w:val="21"/>
                    </w:rPr>
                    <w:t>废活性炭：收集后暂存于危废间，定期委托有资质单位处理</w:t>
                  </w:r>
                </w:p>
              </w:tc>
            </w:tr>
          </w:tbl>
          <w:p>
            <w:pPr>
              <w:autoSpaceDE w:val="0"/>
              <w:autoSpaceDN w:val="0"/>
              <w:spacing w:before="81"/>
              <w:ind w:left="525"/>
              <w:rPr>
                <w:b/>
                <w:bCs/>
                <w:kern w:val="0"/>
                <w:szCs w:val="22"/>
                <w:lang w:val="zh-CN" w:bidi="zh-CN"/>
              </w:rPr>
            </w:pPr>
            <w:r>
              <w:rPr>
                <w:b/>
                <w:bCs/>
                <w:kern w:val="0"/>
                <w:szCs w:val="22"/>
                <w:lang w:val="zh-CN" w:bidi="zh-CN"/>
              </w:rPr>
              <w:t>3、产品方案</w:t>
            </w:r>
          </w:p>
          <w:p>
            <w:pPr>
              <w:pStyle w:val="100"/>
            </w:pPr>
            <w:r>
              <w:t>表2</w:t>
            </w:r>
            <w:r>
              <w:rPr>
                <w:rFonts w:hint="eastAsia"/>
              </w:rPr>
              <w:t>-</w:t>
            </w:r>
            <w:r>
              <w:t xml:space="preserve">10 </w:t>
            </w:r>
            <w:r>
              <w:tab/>
            </w:r>
            <w:r>
              <w:t>现有工程产品方案一览表</w:t>
            </w:r>
          </w:p>
          <w:tbl>
            <w:tblPr>
              <w:tblStyle w:val="5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3928"/>
              <w:gridCol w:w="190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 w:hRule="atLeast"/>
                <w:jc w:val="center"/>
              </w:trPr>
              <w:tc>
                <w:tcPr>
                  <w:tcW w:w="1377" w:type="dxa"/>
                  <w:vAlign w:val="center"/>
                </w:tcPr>
                <w:p>
                  <w:pPr>
                    <w:adjustRightInd w:val="0"/>
                    <w:snapToGrid w:val="0"/>
                    <w:spacing w:before="24" w:beforeLines="10" w:after="24" w:afterLines="10" w:line="259" w:lineRule="auto"/>
                    <w:jc w:val="center"/>
                    <w:rPr>
                      <w:b/>
                      <w:bCs/>
                      <w:kern w:val="0"/>
                      <w:sz w:val="21"/>
                      <w:szCs w:val="20"/>
                    </w:rPr>
                  </w:pPr>
                  <w:r>
                    <w:rPr>
                      <w:b/>
                      <w:bCs/>
                      <w:kern w:val="0"/>
                      <w:sz w:val="21"/>
                      <w:szCs w:val="20"/>
                    </w:rPr>
                    <w:t>序号</w:t>
                  </w:r>
                </w:p>
              </w:tc>
              <w:tc>
                <w:tcPr>
                  <w:tcW w:w="3928" w:type="dxa"/>
                  <w:vAlign w:val="center"/>
                </w:tcPr>
                <w:p>
                  <w:pPr>
                    <w:adjustRightInd w:val="0"/>
                    <w:snapToGrid w:val="0"/>
                    <w:spacing w:before="24" w:beforeLines="10" w:after="24" w:afterLines="10" w:line="259" w:lineRule="auto"/>
                    <w:jc w:val="center"/>
                    <w:rPr>
                      <w:b/>
                      <w:bCs/>
                      <w:kern w:val="0"/>
                      <w:sz w:val="21"/>
                      <w:szCs w:val="20"/>
                    </w:rPr>
                  </w:pPr>
                  <w:r>
                    <w:rPr>
                      <w:b/>
                      <w:bCs/>
                      <w:kern w:val="0"/>
                      <w:sz w:val="21"/>
                      <w:szCs w:val="20"/>
                    </w:rPr>
                    <w:t>产品名称</w:t>
                  </w:r>
                </w:p>
              </w:tc>
              <w:tc>
                <w:tcPr>
                  <w:tcW w:w="1900" w:type="dxa"/>
                  <w:vAlign w:val="center"/>
                </w:tcPr>
                <w:p>
                  <w:pPr>
                    <w:adjustRightInd w:val="0"/>
                    <w:snapToGrid w:val="0"/>
                    <w:spacing w:before="24" w:beforeLines="10" w:after="24" w:afterLines="10" w:line="259" w:lineRule="auto"/>
                    <w:jc w:val="center"/>
                    <w:rPr>
                      <w:b/>
                      <w:bCs/>
                      <w:kern w:val="0"/>
                      <w:sz w:val="21"/>
                      <w:szCs w:val="20"/>
                    </w:rPr>
                  </w:pPr>
                  <w:r>
                    <w:rPr>
                      <w:b/>
                      <w:bCs/>
                      <w:kern w:val="0"/>
                      <w:sz w:val="21"/>
                      <w:szCs w:val="20"/>
                    </w:rPr>
                    <w:t>年产量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jc w:val="center"/>
              </w:trPr>
              <w:tc>
                <w:tcPr>
                  <w:tcW w:w="1377" w:type="dxa"/>
                  <w:vAlign w:val="center"/>
                </w:tcPr>
                <w:p>
                  <w:pPr>
                    <w:adjustRightInd w:val="0"/>
                    <w:snapToGrid w:val="0"/>
                    <w:spacing w:before="24" w:beforeLines="10" w:after="24" w:afterLines="10" w:line="259" w:lineRule="auto"/>
                    <w:jc w:val="center"/>
                    <w:rPr>
                      <w:kern w:val="0"/>
                      <w:sz w:val="21"/>
                      <w:szCs w:val="20"/>
                    </w:rPr>
                  </w:pPr>
                  <w:r>
                    <w:rPr>
                      <w:kern w:val="0"/>
                      <w:sz w:val="21"/>
                      <w:szCs w:val="20"/>
                    </w:rPr>
                    <w:t>1</w:t>
                  </w:r>
                </w:p>
              </w:tc>
              <w:tc>
                <w:tcPr>
                  <w:tcW w:w="3928" w:type="dxa"/>
                  <w:vAlign w:val="bottom"/>
                </w:tcPr>
                <w:p>
                  <w:pPr>
                    <w:adjustRightInd w:val="0"/>
                    <w:snapToGrid w:val="0"/>
                    <w:spacing w:before="24" w:beforeLines="10" w:after="24" w:afterLines="10" w:line="259" w:lineRule="auto"/>
                    <w:jc w:val="center"/>
                    <w:rPr>
                      <w:kern w:val="0"/>
                      <w:sz w:val="21"/>
                      <w:szCs w:val="20"/>
                    </w:rPr>
                  </w:pPr>
                  <w:r>
                    <w:rPr>
                      <w:rFonts w:hint="eastAsia"/>
                      <w:kern w:val="0"/>
                      <w:sz w:val="21"/>
                      <w:szCs w:val="20"/>
                    </w:rPr>
                    <w:t>刨花板</w:t>
                  </w:r>
                </w:p>
              </w:tc>
              <w:tc>
                <w:tcPr>
                  <w:tcW w:w="1900"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10万m³</w:t>
                  </w:r>
                </w:p>
              </w:tc>
            </w:tr>
          </w:tbl>
          <w:p>
            <w:pPr>
              <w:autoSpaceDE w:val="0"/>
              <w:autoSpaceDN w:val="0"/>
              <w:spacing w:before="80"/>
              <w:ind w:left="527"/>
              <w:jc w:val="left"/>
              <w:rPr>
                <w:b/>
                <w:bCs/>
                <w:kern w:val="0"/>
                <w:szCs w:val="22"/>
                <w:lang w:val="zh-CN" w:bidi="zh-CN"/>
              </w:rPr>
            </w:pPr>
            <w:r>
              <w:rPr>
                <w:b/>
                <w:bCs/>
                <w:kern w:val="0"/>
                <w:szCs w:val="22"/>
                <w:lang w:val="zh-CN" w:bidi="zh-CN"/>
              </w:rPr>
              <w:t>4、原辅材料</w:t>
            </w:r>
          </w:p>
          <w:p>
            <w:pPr>
              <w:pStyle w:val="100"/>
            </w:pPr>
            <w:r>
              <w:t>表2</w:t>
            </w:r>
            <w:r>
              <w:rPr>
                <w:rFonts w:hint="eastAsia"/>
              </w:rPr>
              <w:t>-</w:t>
            </w:r>
            <w:r>
              <w:t xml:space="preserve">11 </w:t>
            </w:r>
            <w:r>
              <w:tab/>
            </w:r>
            <w:r>
              <w:t>原辅材料一览表</w:t>
            </w:r>
          </w:p>
          <w:tbl>
            <w:tblPr>
              <w:tblStyle w:val="51"/>
              <w:tblW w:w="805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701"/>
              <w:gridCol w:w="1276"/>
              <w:gridCol w:w="992"/>
              <w:gridCol w:w="32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26" w:type="dxa"/>
                  <w:vAlign w:val="center"/>
                </w:tcPr>
                <w:p>
                  <w:pPr>
                    <w:adjustRightInd w:val="0"/>
                    <w:snapToGrid w:val="0"/>
                    <w:spacing w:before="24" w:beforeLines="10" w:after="24" w:afterLines="10" w:line="259" w:lineRule="auto"/>
                    <w:jc w:val="center"/>
                    <w:rPr>
                      <w:rFonts w:ascii="宋体"/>
                      <w:b/>
                      <w:bCs/>
                      <w:color w:val="FF0000"/>
                      <w:kern w:val="0"/>
                      <w:sz w:val="21"/>
                      <w:szCs w:val="20"/>
                      <w:lang w:val="zh-CN" w:bidi="zh-CN"/>
                    </w:rPr>
                  </w:pPr>
                  <w:r>
                    <w:rPr>
                      <w:rFonts w:hint="eastAsia" w:ascii="宋体"/>
                      <w:b/>
                      <w:bCs/>
                      <w:color w:val="FF0000"/>
                      <w:kern w:val="0"/>
                      <w:sz w:val="21"/>
                      <w:szCs w:val="20"/>
                      <w:lang w:val="zh-CN" w:bidi="zh-CN"/>
                    </w:rPr>
                    <w:t>序号</w:t>
                  </w:r>
                </w:p>
              </w:tc>
              <w:tc>
                <w:tcPr>
                  <w:tcW w:w="1701" w:type="dxa"/>
                  <w:vAlign w:val="center"/>
                </w:tcPr>
                <w:p>
                  <w:pPr>
                    <w:adjustRightInd w:val="0"/>
                    <w:snapToGrid w:val="0"/>
                    <w:spacing w:before="24" w:beforeLines="10" w:after="24" w:afterLines="10" w:line="259" w:lineRule="auto"/>
                    <w:jc w:val="center"/>
                    <w:rPr>
                      <w:rFonts w:ascii="宋体"/>
                      <w:b/>
                      <w:bCs/>
                      <w:color w:val="FF0000"/>
                      <w:kern w:val="0"/>
                      <w:sz w:val="21"/>
                      <w:szCs w:val="20"/>
                      <w:lang w:val="zh-CN" w:bidi="zh-CN"/>
                    </w:rPr>
                  </w:pPr>
                  <w:r>
                    <w:rPr>
                      <w:rFonts w:hint="eastAsia" w:ascii="宋体"/>
                      <w:b/>
                      <w:bCs/>
                      <w:color w:val="FF0000"/>
                      <w:kern w:val="0"/>
                      <w:sz w:val="21"/>
                      <w:szCs w:val="20"/>
                      <w:lang w:val="zh-CN" w:bidi="zh-CN"/>
                    </w:rPr>
                    <w:t>原料名称</w:t>
                  </w:r>
                </w:p>
              </w:tc>
              <w:tc>
                <w:tcPr>
                  <w:tcW w:w="1276" w:type="dxa"/>
                  <w:vAlign w:val="center"/>
                </w:tcPr>
                <w:p>
                  <w:pPr>
                    <w:adjustRightInd w:val="0"/>
                    <w:snapToGrid w:val="0"/>
                    <w:spacing w:before="24" w:beforeLines="10" w:after="24" w:afterLines="10" w:line="259" w:lineRule="auto"/>
                    <w:jc w:val="center"/>
                    <w:rPr>
                      <w:rFonts w:ascii="宋体"/>
                      <w:b/>
                      <w:bCs/>
                      <w:color w:val="FF0000"/>
                      <w:kern w:val="0"/>
                      <w:sz w:val="21"/>
                      <w:szCs w:val="20"/>
                      <w:lang w:val="zh-CN" w:bidi="zh-CN"/>
                    </w:rPr>
                  </w:pPr>
                  <w:r>
                    <w:rPr>
                      <w:rFonts w:hint="eastAsia" w:ascii="宋体"/>
                      <w:b/>
                      <w:bCs/>
                      <w:color w:val="FF0000"/>
                      <w:kern w:val="0"/>
                      <w:sz w:val="21"/>
                      <w:szCs w:val="20"/>
                      <w:lang w:val="zh-CN" w:bidi="zh-CN"/>
                    </w:rPr>
                    <w:t>数量</w:t>
                  </w:r>
                </w:p>
              </w:tc>
              <w:tc>
                <w:tcPr>
                  <w:tcW w:w="992" w:type="dxa"/>
                  <w:vAlign w:val="center"/>
                </w:tcPr>
                <w:p>
                  <w:pPr>
                    <w:adjustRightInd w:val="0"/>
                    <w:snapToGrid w:val="0"/>
                    <w:spacing w:before="24" w:beforeLines="10" w:after="24" w:afterLines="10" w:line="259" w:lineRule="auto"/>
                    <w:jc w:val="center"/>
                    <w:rPr>
                      <w:rFonts w:ascii="宋体"/>
                      <w:b/>
                      <w:bCs/>
                      <w:color w:val="FF0000"/>
                      <w:kern w:val="0"/>
                      <w:sz w:val="21"/>
                      <w:szCs w:val="20"/>
                      <w:lang w:val="zh-CN" w:bidi="zh-CN"/>
                    </w:rPr>
                  </w:pPr>
                  <w:r>
                    <w:rPr>
                      <w:rFonts w:hint="eastAsia" w:ascii="宋体"/>
                      <w:b/>
                      <w:bCs/>
                      <w:color w:val="FF0000"/>
                      <w:kern w:val="0"/>
                      <w:sz w:val="21"/>
                      <w:szCs w:val="20"/>
                      <w:lang w:val="zh-CN" w:bidi="zh-CN"/>
                    </w:rPr>
                    <w:t>单位</w:t>
                  </w:r>
                </w:p>
              </w:tc>
              <w:tc>
                <w:tcPr>
                  <w:tcW w:w="3261" w:type="dxa"/>
                  <w:vAlign w:val="center"/>
                </w:tcPr>
                <w:p>
                  <w:pPr>
                    <w:adjustRightInd w:val="0"/>
                    <w:snapToGrid w:val="0"/>
                    <w:spacing w:before="24" w:beforeLines="10" w:after="24" w:afterLines="10" w:line="259" w:lineRule="auto"/>
                    <w:jc w:val="center"/>
                    <w:rPr>
                      <w:rFonts w:ascii="宋体"/>
                      <w:b/>
                      <w:bCs/>
                      <w:color w:val="FF0000"/>
                      <w:kern w:val="0"/>
                      <w:sz w:val="21"/>
                      <w:szCs w:val="20"/>
                      <w:lang w:val="zh-CN" w:bidi="zh-CN"/>
                    </w:rPr>
                  </w:pPr>
                  <w:r>
                    <w:rPr>
                      <w:rFonts w:hint="eastAsia" w:ascii="宋体"/>
                      <w:b/>
                      <w:bCs/>
                      <w:color w:val="FF0000"/>
                      <w:kern w:val="0"/>
                      <w:sz w:val="21"/>
                      <w:szCs w:val="20"/>
                      <w:lang w:val="zh-CN" w:bidi="zh-CN"/>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1</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刨花、枝桠材、锯末</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0"/>
                      <w:szCs w:val="20"/>
                      <w:lang w:bidi="zh-CN"/>
                    </w:rPr>
                    <w:t>10</w:t>
                  </w:r>
                  <w:r>
                    <w:rPr>
                      <w:rFonts w:hint="eastAsia" w:ascii="宋体"/>
                      <w:color w:val="FF0000"/>
                      <w:kern w:val="0"/>
                      <w:sz w:val="20"/>
                      <w:szCs w:val="20"/>
                      <w:lang w:val="zh-CN" w:bidi="zh-CN"/>
                    </w:rPr>
                    <w:t>万</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color w:val="FF0000"/>
                      <w:kern w:val="0"/>
                      <w:sz w:val="21"/>
                      <w:szCs w:val="20"/>
                    </w:rPr>
                    <w:t>m³</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2</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尿素</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0"/>
                      <w:szCs w:val="20"/>
                      <w:lang w:bidi="zh-CN"/>
                    </w:rPr>
                    <w:t>2400</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t</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3</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甲醛</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0"/>
                      <w:szCs w:val="20"/>
                      <w:lang w:bidi="zh-CN"/>
                    </w:rPr>
                    <w:t>4200</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t</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4</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甲酸</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0"/>
                      <w:szCs w:val="20"/>
                      <w:lang w:bidi="zh-CN"/>
                    </w:rPr>
                    <w:t>2</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t</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5</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聚乙烯醇</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0"/>
                      <w:szCs w:val="20"/>
                      <w:lang w:bidi="zh-CN"/>
                    </w:rPr>
                    <w:t>12</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t</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6</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氯化铵</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0"/>
                      <w:szCs w:val="20"/>
                      <w:lang w:bidi="zh-CN"/>
                    </w:rPr>
                    <w:t>135</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t</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7</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天然气</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ascii="宋体"/>
                      <w:color w:val="FF0000"/>
                      <w:kern w:val="0"/>
                      <w:sz w:val="20"/>
                      <w:szCs w:val="20"/>
                      <w:lang w:val="zh-CN" w:bidi="zh-CN"/>
                    </w:rPr>
                    <w:t>922500</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m</w:t>
                  </w:r>
                  <w:r>
                    <w:rPr>
                      <w:rFonts w:ascii="宋体"/>
                      <w:color w:val="FF0000"/>
                      <w:kern w:val="0"/>
                      <w:sz w:val="21"/>
                      <w:szCs w:val="20"/>
                      <w:vertAlign w:val="superscript"/>
                      <w:lang w:val="zh-CN" w:bidi="zh-CN"/>
                    </w:rPr>
                    <w:t>3</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管网供给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82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8</w:t>
                  </w:r>
                </w:p>
              </w:tc>
              <w:tc>
                <w:tcPr>
                  <w:tcW w:w="1701" w:type="dxa"/>
                  <w:vAlign w:val="center"/>
                </w:tcPr>
                <w:p>
                  <w:pPr>
                    <w:adjustRightInd w:val="0"/>
                    <w:snapToGrid w:val="0"/>
                    <w:spacing w:before="24" w:beforeLines="10" w:after="24" w:afterLines="10" w:line="259" w:lineRule="auto"/>
                    <w:jc w:val="center"/>
                    <w:rPr>
                      <w:rFonts w:ascii="宋体"/>
                      <w:color w:val="FF0000"/>
                      <w:kern w:val="0"/>
                      <w:sz w:val="21"/>
                      <w:szCs w:val="21"/>
                      <w:lang w:val="zh-CN" w:bidi="zh-CN"/>
                    </w:rPr>
                  </w:pPr>
                  <w:r>
                    <w:rPr>
                      <w:rFonts w:hint="eastAsia" w:ascii="宋体"/>
                      <w:color w:val="FF0000"/>
                      <w:sz w:val="21"/>
                      <w:szCs w:val="21"/>
                    </w:rPr>
                    <w:t>导热油</w:t>
                  </w:r>
                </w:p>
              </w:tc>
              <w:tc>
                <w:tcPr>
                  <w:tcW w:w="1276"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ascii="宋体"/>
                      <w:color w:val="FF0000"/>
                      <w:kern w:val="0"/>
                      <w:sz w:val="20"/>
                      <w:szCs w:val="20"/>
                      <w:lang w:val="zh-CN" w:bidi="zh-CN"/>
                    </w:rPr>
                    <w:t>2</w:t>
                  </w:r>
                  <w:r>
                    <w:rPr>
                      <w:rFonts w:hint="eastAsia" w:ascii="宋体"/>
                      <w:color w:val="FF0000"/>
                      <w:kern w:val="0"/>
                      <w:sz w:val="20"/>
                      <w:szCs w:val="20"/>
                      <w:lang w:val="zh-CN" w:bidi="zh-CN"/>
                    </w:rPr>
                    <w:t>.</w:t>
                  </w:r>
                  <w:r>
                    <w:rPr>
                      <w:rFonts w:ascii="宋体"/>
                      <w:color w:val="FF0000"/>
                      <w:kern w:val="0"/>
                      <w:sz w:val="20"/>
                      <w:szCs w:val="20"/>
                      <w:lang w:val="zh-CN" w:bidi="zh-CN"/>
                    </w:rPr>
                    <w:t>5</w:t>
                  </w:r>
                </w:p>
              </w:tc>
              <w:tc>
                <w:tcPr>
                  <w:tcW w:w="992"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t</w:t>
                  </w:r>
                  <w:r>
                    <w:rPr>
                      <w:rFonts w:ascii="宋体"/>
                      <w:color w:val="FF0000"/>
                      <w:kern w:val="0"/>
                      <w:sz w:val="21"/>
                      <w:szCs w:val="20"/>
                      <w:lang w:val="zh-CN" w:bidi="zh-CN"/>
                    </w:rPr>
                    <w:t>/a</w:t>
                  </w:r>
                </w:p>
              </w:tc>
              <w:tc>
                <w:tcPr>
                  <w:tcW w:w="3261" w:type="dxa"/>
                  <w:vAlign w:val="center"/>
                </w:tcPr>
                <w:p>
                  <w:pPr>
                    <w:adjustRightInd w:val="0"/>
                    <w:snapToGrid w:val="0"/>
                    <w:spacing w:before="24" w:beforeLines="10" w:after="24" w:afterLines="10" w:line="259" w:lineRule="auto"/>
                    <w:jc w:val="center"/>
                    <w:rPr>
                      <w:rFonts w:ascii="宋体"/>
                      <w:color w:val="FF0000"/>
                      <w:kern w:val="0"/>
                      <w:sz w:val="21"/>
                      <w:szCs w:val="20"/>
                      <w:lang w:val="zh-CN" w:bidi="zh-CN"/>
                    </w:rPr>
                  </w:pPr>
                  <w:r>
                    <w:rPr>
                      <w:rFonts w:hint="eastAsia" w:ascii="宋体"/>
                      <w:color w:val="FF0000"/>
                      <w:kern w:val="0"/>
                      <w:sz w:val="21"/>
                      <w:szCs w:val="20"/>
                      <w:lang w:val="zh-CN" w:bidi="zh-CN"/>
                    </w:rPr>
                    <w:t>本地采购</w:t>
                  </w:r>
                </w:p>
              </w:tc>
            </w:tr>
          </w:tbl>
          <w:p>
            <w:pPr>
              <w:autoSpaceDE w:val="0"/>
              <w:autoSpaceDN w:val="0"/>
              <w:spacing w:before="80"/>
              <w:ind w:left="527"/>
              <w:jc w:val="left"/>
              <w:rPr>
                <w:b/>
                <w:bCs/>
                <w:kern w:val="0"/>
                <w:szCs w:val="22"/>
                <w:lang w:bidi="zh-CN"/>
              </w:rPr>
            </w:pPr>
            <w:r>
              <w:rPr>
                <w:b/>
                <w:bCs/>
                <w:kern w:val="0"/>
                <w:szCs w:val="22"/>
                <w:lang w:bidi="zh-CN"/>
              </w:rPr>
              <w:t>5</w:t>
            </w:r>
            <w:r>
              <w:rPr>
                <w:b/>
                <w:bCs/>
                <w:kern w:val="0"/>
                <w:szCs w:val="22"/>
                <w:lang w:val="zh-CN" w:bidi="zh-CN"/>
              </w:rPr>
              <w:t>、现有工程主要设备</w:t>
            </w:r>
          </w:p>
          <w:p>
            <w:pPr>
              <w:pStyle w:val="100"/>
            </w:pPr>
            <w:bookmarkStart w:id="9" w:name="_Hlk38613381"/>
            <w:r>
              <w:t>表2</w:t>
            </w:r>
            <w:r>
              <w:rPr>
                <w:rFonts w:hint="eastAsia"/>
              </w:rPr>
              <w:t>-</w:t>
            </w:r>
            <w:r>
              <w:t>12  厂区</w:t>
            </w:r>
            <w:r>
              <w:rPr>
                <w:rFonts w:hint="eastAsia"/>
              </w:rPr>
              <w:t>现有</w:t>
            </w:r>
            <w:r>
              <w:t>主要设备</w:t>
            </w:r>
          </w:p>
          <w:tbl>
            <w:tblPr>
              <w:tblStyle w:val="5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2176"/>
              <w:gridCol w:w="1913"/>
              <w:gridCol w:w="700"/>
              <w:gridCol w:w="606"/>
              <w:gridCol w:w="220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序号</w:t>
                  </w:r>
                </w:p>
              </w:tc>
              <w:tc>
                <w:tcPr>
                  <w:tcW w:w="1293" w:type="pct"/>
                  <w:shd w:val="clear" w:color="auto" w:fill="auto"/>
                  <w:vAlign w:val="center"/>
                </w:tcPr>
                <w:p>
                  <w:pPr>
                    <w:pStyle w:val="215"/>
                    <w:rPr>
                      <w:lang w:bidi="ar"/>
                    </w:rPr>
                  </w:pPr>
                  <w:r>
                    <w:rPr>
                      <w:lang w:bidi="ar"/>
                    </w:rPr>
                    <w:t>名称</w:t>
                  </w:r>
                </w:p>
              </w:tc>
              <w:tc>
                <w:tcPr>
                  <w:tcW w:w="1137" w:type="pct"/>
                  <w:shd w:val="clear" w:color="auto" w:fill="auto"/>
                  <w:vAlign w:val="center"/>
                </w:tcPr>
                <w:p>
                  <w:pPr>
                    <w:pStyle w:val="215"/>
                    <w:rPr>
                      <w:lang w:bidi="ar"/>
                    </w:rPr>
                  </w:pPr>
                  <w:r>
                    <w:rPr>
                      <w:lang w:bidi="ar"/>
                    </w:rPr>
                    <w:t>规格型号</w:t>
                  </w:r>
                </w:p>
              </w:tc>
              <w:tc>
                <w:tcPr>
                  <w:tcW w:w="416" w:type="pct"/>
                  <w:shd w:val="clear" w:color="auto" w:fill="auto"/>
                  <w:vAlign w:val="center"/>
                </w:tcPr>
                <w:p>
                  <w:pPr>
                    <w:pStyle w:val="215"/>
                    <w:rPr>
                      <w:lang w:bidi="ar"/>
                    </w:rPr>
                  </w:pPr>
                  <w:r>
                    <w:rPr>
                      <w:lang w:bidi="ar"/>
                    </w:rPr>
                    <w:t>单位</w:t>
                  </w:r>
                </w:p>
              </w:tc>
              <w:tc>
                <w:tcPr>
                  <w:tcW w:w="360" w:type="pct"/>
                  <w:shd w:val="clear" w:color="auto" w:fill="auto"/>
                  <w:vAlign w:val="center"/>
                </w:tcPr>
                <w:p>
                  <w:pPr>
                    <w:pStyle w:val="215"/>
                    <w:rPr>
                      <w:lang w:bidi="ar"/>
                    </w:rPr>
                  </w:pPr>
                  <w:r>
                    <w:rPr>
                      <w:lang w:bidi="ar"/>
                    </w:rPr>
                    <w:t>数量</w:t>
                  </w:r>
                </w:p>
              </w:tc>
              <w:tc>
                <w:tcPr>
                  <w:tcW w:w="1310" w:type="pct"/>
                  <w:shd w:val="clear" w:color="auto" w:fill="auto"/>
                  <w:vAlign w:val="center"/>
                </w:tcPr>
                <w:p>
                  <w:pPr>
                    <w:pStyle w:val="215"/>
                    <w:rPr>
                      <w:lang w:bidi="ar"/>
                    </w:rPr>
                  </w:pPr>
                  <w:r>
                    <w:rPr>
                      <w:lang w:bidi="ar"/>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b/>
                      <w:bCs w:val="0"/>
                      <w:lang w:bidi="ar"/>
                    </w:rPr>
                    <w:t>备料工段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pPr>
                  <w:r>
                    <w:rPr>
                      <w:lang w:bidi="ar"/>
                    </w:rPr>
                    <w:t>上料皮带运输机</w:t>
                  </w:r>
                </w:p>
              </w:tc>
              <w:tc>
                <w:tcPr>
                  <w:tcW w:w="1137" w:type="pct"/>
                  <w:shd w:val="clear" w:color="auto" w:fill="auto"/>
                  <w:vAlign w:val="center"/>
                </w:tcPr>
                <w:p>
                  <w:pPr>
                    <w:pStyle w:val="215"/>
                  </w:pPr>
                  <w:r>
                    <w:rPr>
                      <w:lang w:bidi="ar"/>
                    </w:rPr>
                    <w:t>BZY1170</w:t>
                  </w:r>
                </w:p>
              </w:tc>
              <w:tc>
                <w:tcPr>
                  <w:tcW w:w="416" w:type="pct"/>
                  <w:shd w:val="clear" w:color="auto" w:fill="auto"/>
                  <w:vAlign w:val="center"/>
                </w:tcPr>
                <w:p>
                  <w:pPr>
                    <w:pStyle w:val="215"/>
                  </w:pPr>
                  <w:r>
                    <w:t>台</w:t>
                  </w:r>
                </w:p>
              </w:tc>
              <w:tc>
                <w:tcPr>
                  <w:tcW w:w="360" w:type="pct"/>
                  <w:shd w:val="clear" w:color="auto" w:fill="auto"/>
                  <w:vAlign w:val="center"/>
                </w:tcPr>
                <w:p>
                  <w:pPr>
                    <w:pStyle w:val="215"/>
                  </w:pPr>
                  <w:r>
                    <w:t>2</w:t>
                  </w:r>
                </w:p>
              </w:tc>
              <w:tc>
                <w:tcPr>
                  <w:tcW w:w="1310" w:type="pct"/>
                  <w:shd w:val="clear" w:color="auto" w:fill="auto"/>
                  <w:vAlign w:val="center"/>
                </w:tcPr>
                <w:p>
                  <w:pPr>
                    <w:pStyle w:val="215"/>
                    <w:rPr>
                      <w:lang w:bidi="ar"/>
                    </w:rPr>
                  </w:pPr>
                  <w:r>
                    <w:rPr>
                      <w:lang w:bidi="ar"/>
                    </w:rPr>
                    <w:t>宽700mm，V=38m/min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pPr>
                  <w:r>
                    <w:rPr>
                      <w:lang w:bidi="ar"/>
                    </w:rPr>
                    <w:t>鼓式削片机</w:t>
                  </w:r>
                </w:p>
              </w:tc>
              <w:tc>
                <w:tcPr>
                  <w:tcW w:w="1137" w:type="pct"/>
                  <w:shd w:val="clear" w:color="auto" w:fill="auto"/>
                  <w:vAlign w:val="center"/>
                </w:tcPr>
                <w:p>
                  <w:pPr>
                    <w:pStyle w:val="215"/>
                  </w:pPr>
                  <w:r>
                    <w:rPr>
                      <w:lang w:bidi="ar"/>
                    </w:rPr>
                    <w:t>BX218D</w:t>
                  </w:r>
                </w:p>
              </w:tc>
              <w:tc>
                <w:tcPr>
                  <w:tcW w:w="416" w:type="pct"/>
                  <w:shd w:val="clear" w:color="auto" w:fill="auto"/>
                  <w:vAlign w:val="center"/>
                </w:tcPr>
                <w:p>
                  <w:pPr>
                    <w:pStyle w:val="215"/>
                  </w:pPr>
                  <w: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刀辊直径800mm、产能38 m³/h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pPr>
                  <w:r>
                    <w:rPr>
                      <w:lang w:bidi="ar"/>
                    </w:rPr>
                    <w:t>出料皮带运输机</w:t>
                  </w:r>
                </w:p>
              </w:tc>
              <w:tc>
                <w:tcPr>
                  <w:tcW w:w="1137" w:type="pct"/>
                  <w:shd w:val="clear" w:color="auto" w:fill="auto"/>
                  <w:vAlign w:val="center"/>
                </w:tcPr>
                <w:p>
                  <w:pPr>
                    <w:pStyle w:val="215"/>
                  </w:pPr>
                  <w:r>
                    <w:rPr>
                      <w:lang w:bidi="ar"/>
                    </w:rPr>
                    <w:t>BZY1165</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r>
                    <w:rPr>
                      <w:lang w:bidi="ar"/>
                    </w:rPr>
                    <w:t>宽 650mm，V=48m/min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pPr>
                  <w:r>
                    <w:rPr>
                      <w:lang w:bidi="ar"/>
                    </w:rPr>
                    <w:t>皮带运输机（一）</w:t>
                  </w:r>
                </w:p>
              </w:tc>
              <w:tc>
                <w:tcPr>
                  <w:tcW w:w="1137" w:type="pct"/>
                  <w:shd w:val="clear" w:color="auto" w:fill="auto"/>
                  <w:vAlign w:val="center"/>
                </w:tcPr>
                <w:p>
                  <w:pPr>
                    <w:pStyle w:val="215"/>
                  </w:pPr>
                  <w:r>
                    <w:rPr>
                      <w:lang w:bidi="ar"/>
                    </w:rPr>
                    <w:t>BZY1165</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r>
                    <w:rPr>
                      <w:lang w:bidi="ar"/>
                    </w:rPr>
                    <w:t>宽 650mm，V=48m/min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pPr>
                  <w:r>
                    <w:rPr>
                      <w:lang w:bidi="ar"/>
                    </w:rPr>
                    <w:t>环式刨片机</w:t>
                  </w:r>
                </w:p>
              </w:tc>
              <w:tc>
                <w:tcPr>
                  <w:tcW w:w="1137" w:type="pct"/>
                  <w:shd w:val="clear" w:color="auto" w:fill="auto"/>
                  <w:vAlign w:val="center"/>
                </w:tcPr>
                <w:p>
                  <w:pPr>
                    <w:pStyle w:val="215"/>
                  </w:pPr>
                  <w:r>
                    <w:rPr>
                      <w:lang w:bidi="ar"/>
                    </w:rPr>
                    <w:t>BX4612-5</w:t>
                  </w:r>
                </w:p>
              </w:tc>
              <w:tc>
                <w:tcPr>
                  <w:tcW w:w="416" w:type="pct"/>
                  <w:shd w:val="clear" w:color="auto" w:fill="auto"/>
                  <w:vAlign w:val="center"/>
                </w:tcPr>
                <w:p>
                  <w:pPr>
                    <w:pStyle w:val="215"/>
                  </w:pPr>
                  <w: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刀 环 直 径 1200mm 、 产 能 4t/h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pPr>
                  <w:r>
                    <w:rPr>
                      <w:lang w:bidi="ar"/>
                    </w:rPr>
                    <w:t>粉碎机</w:t>
                  </w:r>
                </w:p>
              </w:tc>
              <w:tc>
                <w:tcPr>
                  <w:tcW w:w="1137" w:type="pct"/>
                  <w:shd w:val="clear" w:color="auto" w:fill="auto"/>
                  <w:vAlign w:val="center"/>
                </w:tcPr>
                <w:p>
                  <w:pPr>
                    <w:pStyle w:val="215"/>
                  </w:pPr>
                </w:p>
              </w:tc>
              <w:tc>
                <w:tcPr>
                  <w:tcW w:w="416" w:type="pct"/>
                  <w:shd w:val="clear" w:color="auto" w:fill="auto"/>
                  <w:vAlign w:val="center"/>
                </w:tcPr>
                <w:p>
                  <w:pPr>
                    <w:pStyle w:val="215"/>
                  </w:pPr>
                  <w:r>
                    <w:t>台</w:t>
                  </w:r>
                </w:p>
              </w:tc>
              <w:tc>
                <w:tcPr>
                  <w:tcW w:w="360" w:type="pct"/>
                  <w:shd w:val="clear" w:color="auto" w:fill="auto"/>
                  <w:vAlign w:val="center"/>
                </w:tcPr>
                <w:p>
                  <w:pPr>
                    <w:pStyle w:val="215"/>
                  </w:pPr>
                  <w:r>
                    <w:t>3</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7</w:t>
                  </w:r>
                </w:p>
              </w:tc>
              <w:tc>
                <w:tcPr>
                  <w:tcW w:w="1293" w:type="pct"/>
                  <w:shd w:val="clear" w:color="auto" w:fill="auto"/>
                  <w:vAlign w:val="center"/>
                </w:tcPr>
                <w:p>
                  <w:pPr>
                    <w:pStyle w:val="215"/>
                  </w:pPr>
                  <w:r>
                    <w:rPr>
                      <w:lang w:bidi="ar"/>
                    </w:rPr>
                    <w:t>槽型皮带运输机</w:t>
                  </w:r>
                </w:p>
              </w:tc>
              <w:tc>
                <w:tcPr>
                  <w:tcW w:w="1137" w:type="pct"/>
                  <w:shd w:val="clear" w:color="auto" w:fill="auto"/>
                  <w:vAlign w:val="center"/>
                </w:tcPr>
                <w:p>
                  <w:pPr>
                    <w:pStyle w:val="215"/>
                  </w:pPr>
                  <w:r>
                    <w:rPr>
                      <w:lang w:bidi="ar"/>
                    </w:rPr>
                    <w:t>BZY1165</w:t>
                  </w:r>
                </w:p>
              </w:tc>
              <w:tc>
                <w:tcPr>
                  <w:tcW w:w="416" w:type="pct"/>
                  <w:shd w:val="clear" w:color="auto" w:fill="auto"/>
                  <w:vAlign w:val="center"/>
                </w:tcPr>
                <w:p>
                  <w:pPr>
                    <w:pStyle w:val="215"/>
                  </w:pPr>
                  <w: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宽 650mm，V=60m/min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w:t>
                  </w:r>
                </w:p>
              </w:tc>
              <w:tc>
                <w:tcPr>
                  <w:tcW w:w="1293" w:type="pct"/>
                  <w:shd w:val="clear" w:color="auto" w:fill="auto"/>
                  <w:vAlign w:val="center"/>
                </w:tcPr>
                <w:p>
                  <w:pPr>
                    <w:pStyle w:val="215"/>
                  </w:pPr>
                  <w:r>
                    <w:rPr>
                      <w:lang w:bidi="ar"/>
                    </w:rPr>
                    <w:t>刨片除尘风送系统</w:t>
                  </w:r>
                </w:p>
              </w:tc>
              <w:tc>
                <w:tcPr>
                  <w:tcW w:w="1137" w:type="pct"/>
                  <w:shd w:val="clear" w:color="auto" w:fill="auto"/>
                  <w:vAlign w:val="center"/>
                </w:tcPr>
                <w:p>
                  <w:pPr>
                    <w:pStyle w:val="215"/>
                  </w:pPr>
                </w:p>
              </w:tc>
              <w:tc>
                <w:tcPr>
                  <w:tcW w:w="416" w:type="pct"/>
                  <w:shd w:val="clear" w:color="auto" w:fill="auto"/>
                  <w:vAlign w:val="center"/>
                </w:tcPr>
                <w:p>
                  <w:pPr>
                    <w:pStyle w:val="215"/>
                  </w:pPr>
                  <w:r>
                    <w:t>套</w:t>
                  </w:r>
                </w:p>
              </w:tc>
              <w:tc>
                <w:tcPr>
                  <w:tcW w:w="360" w:type="pct"/>
                  <w:shd w:val="clear" w:color="auto" w:fill="auto"/>
                  <w:vAlign w:val="center"/>
                </w:tcPr>
                <w:p>
                  <w:pPr>
                    <w:pStyle w:val="215"/>
                  </w:pPr>
                  <w:r>
                    <w:t>1</w:t>
                  </w:r>
                </w:p>
              </w:tc>
              <w:tc>
                <w:tcPr>
                  <w:tcW w:w="1310" w:type="pct"/>
                  <w:shd w:val="clear" w:color="auto" w:fill="auto"/>
                  <w:vAlign w:val="center"/>
                </w:tcPr>
                <w:p>
                  <w:pPr>
                    <w:pStyle w:val="215"/>
                  </w:pPr>
                </w:p>
                <w:p>
                  <w:pPr>
                    <w:pStyle w:val="215"/>
                  </w:pPr>
                </w:p>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pPr>
                  <w:r>
                    <w:rPr>
                      <w:lang w:bidi="ar"/>
                    </w:rPr>
                    <w:t>4-72 NO.0.8D</w:t>
                  </w:r>
                </w:p>
              </w:tc>
              <w:tc>
                <w:tcPr>
                  <w:tcW w:w="416" w:type="pct"/>
                  <w:shd w:val="clear" w:color="auto" w:fill="auto"/>
                  <w:vAlign w:val="center"/>
                </w:tcPr>
                <w:p>
                  <w:pPr>
                    <w:pStyle w:val="215"/>
                  </w:pPr>
                  <w:r>
                    <w:t>台</w:t>
                  </w:r>
                </w:p>
              </w:tc>
              <w:tc>
                <w:tcPr>
                  <w:tcW w:w="360" w:type="pct"/>
                  <w:shd w:val="clear" w:color="auto" w:fill="auto"/>
                  <w:vAlign w:val="center"/>
                </w:tcPr>
                <w:p>
                  <w:pPr>
                    <w:pStyle w:val="215"/>
                  </w:pPr>
                  <w: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8.2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pPr>
                  <w:r>
                    <w:rPr>
                      <w:lang w:bidi="ar"/>
                    </w:rPr>
                    <w:t>BFL-1200</w:t>
                  </w:r>
                </w:p>
              </w:tc>
              <w:tc>
                <w:tcPr>
                  <w:tcW w:w="416" w:type="pct"/>
                  <w:shd w:val="clear" w:color="auto" w:fill="auto"/>
                  <w:vAlign w:val="center"/>
                </w:tcPr>
                <w:p>
                  <w:pPr>
                    <w:pStyle w:val="215"/>
                  </w:pPr>
                  <w:r>
                    <w:t>台</w:t>
                  </w:r>
                </w:p>
              </w:tc>
              <w:tc>
                <w:tcPr>
                  <w:tcW w:w="360" w:type="pct"/>
                  <w:shd w:val="clear" w:color="auto" w:fill="auto"/>
                  <w:vAlign w:val="center"/>
                </w:tcPr>
                <w:p>
                  <w:pPr>
                    <w:pStyle w:val="215"/>
                  </w:pPr>
                  <w: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pPr>
                  <w:r>
                    <w:rPr>
                      <w:lang w:bidi="ar"/>
                    </w:rPr>
                    <w:t>BXL40</w:t>
                  </w:r>
                </w:p>
              </w:tc>
              <w:tc>
                <w:tcPr>
                  <w:tcW w:w="416" w:type="pct"/>
                  <w:shd w:val="clear" w:color="auto" w:fill="auto"/>
                  <w:vAlign w:val="center"/>
                </w:tcPr>
                <w:p>
                  <w:pPr>
                    <w:pStyle w:val="215"/>
                  </w:pPr>
                  <w:r>
                    <w:t>台</w:t>
                  </w:r>
                </w:p>
              </w:tc>
              <w:tc>
                <w:tcPr>
                  <w:tcW w:w="360" w:type="pct"/>
                  <w:shd w:val="clear" w:color="auto" w:fill="auto"/>
                  <w:vAlign w:val="center"/>
                </w:tcPr>
                <w:p>
                  <w:pPr>
                    <w:pStyle w:val="215"/>
                  </w:pPr>
                  <w: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pPr>
                </w:p>
              </w:tc>
              <w:tc>
                <w:tcPr>
                  <w:tcW w:w="416" w:type="pct"/>
                  <w:shd w:val="clear" w:color="auto" w:fill="auto"/>
                  <w:vAlign w:val="center"/>
                </w:tcPr>
                <w:p>
                  <w:pPr>
                    <w:pStyle w:val="215"/>
                  </w:pPr>
                  <w:r>
                    <w:t>套</w:t>
                  </w:r>
                </w:p>
              </w:tc>
              <w:tc>
                <w:tcPr>
                  <w:tcW w:w="360" w:type="pct"/>
                  <w:shd w:val="clear" w:color="auto" w:fill="auto"/>
                  <w:vAlign w:val="center"/>
                </w:tcPr>
                <w:p>
                  <w:pPr>
                    <w:pStyle w:val="215"/>
                  </w:pPr>
                  <w: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b/>
                      <w:bCs w:val="0"/>
                    </w:rPr>
                    <w:t>刨花锯末部分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皮带运输机</w:t>
                  </w:r>
                </w:p>
              </w:tc>
              <w:tc>
                <w:tcPr>
                  <w:tcW w:w="1137" w:type="pct"/>
                  <w:shd w:val="clear" w:color="auto" w:fill="auto"/>
                  <w:vAlign w:val="center"/>
                </w:tcPr>
                <w:p>
                  <w:pPr>
                    <w:pStyle w:val="215"/>
                  </w:pPr>
                  <w:r>
                    <w:rPr>
                      <w:lang w:bidi="ar"/>
                    </w:rPr>
                    <w:t>BZY1165</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pPr>
                  <w:r>
                    <w:rPr>
                      <w:lang w:bidi="ar"/>
                    </w:rPr>
                    <w:t>宽 650mm，V=48m/min</w:t>
                  </w:r>
                </w:p>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pPr>
                  <w:r>
                    <w:rPr>
                      <w:lang w:bidi="ar"/>
                    </w:rPr>
                    <w:t>分选筛</w:t>
                  </w:r>
                </w:p>
              </w:tc>
              <w:tc>
                <w:tcPr>
                  <w:tcW w:w="1137" w:type="pct"/>
                  <w:shd w:val="clear" w:color="auto" w:fill="auto"/>
                  <w:vAlign w:val="center"/>
                </w:tcPr>
                <w:p>
                  <w:pPr>
                    <w:pStyle w:val="215"/>
                  </w:pPr>
                  <w:r>
                    <w:rPr>
                      <w:lang w:bidi="ar"/>
                    </w:rPr>
                    <w:t>BFL1120</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直径 1200mm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b/>
                      <w:bCs w:val="0"/>
                      <w:lang w:bidi="ar"/>
                    </w:rPr>
                    <w:t>干燥分选部分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pPr>
                  <w:r>
                    <w:rPr>
                      <w:lang w:bidi="ar"/>
                    </w:rPr>
                    <w:t>槽型皮带运输机</w:t>
                  </w:r>
                </w:p>
              </w:tc>
              <w:tc>
                <w:tcPr>
                  <w:tcW w:w="1137" w:type="pct"/>
                  <w:shd w:val="clear" w:color="auto" w:fill="auto"/>
                  <w:vAlign w:val="center"/>
                </w:tcPr>
                <w:p>
                  <w:pPr>
                    <w:pStyle w:val="215"/>
                  </w:pPr>
                  <w:r>
                    <w:rPr>
                      <w:lang w:bidi="ar"/>
                    </w:rPr>
                    <w:t>BZY1180</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宽 800mm，V=60m/min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pPr>
                  <w:r>
                    <w:rPr>
                      <w:lang w:bidi="ar"/>
                    </w:rPr>
                    <w:t>进料星型下料器</w:t>
                  </w:r>
                </w:p>
              </w:tc>
              <w:tc>
                <w:tcPr>
                  <w:tcW w:w="1137" w:type="pct"/>
                  <w:shd w:val="clear" w:color="auto" w:fill="auto"/>
                  <w:vAlign w:val="center"/>
                </w:tcPr>
                <w:p>
                  <w:pPr>
                    <w:pStyle w:val="215"/>
                  </w:pPr>
                  <w:r>
                    <w:rPr>
                      <w:lang w:bidi="ar"/>
                    </w:rPr>
                    <w:t>BXL120</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pPr>
                  <w:r>
                    <w:rPr>
                      <w:lang w:bidi="ar"/>
                    </w:rPr>
                    <w:t>热风干燥系统</w:t>
                  </w:r>
                </w:p>
              </w:tc>
              <w:tc>
                <w:tcPr>
                  <w:tcW w:w="1137" w:type="pct"/>
                  <w:shd w:val="clear" w:color="auto" w:fill="auto"/>
                  <w:vAlign w:val="center"/>
                </w:tcPr>
                <w:p>
                  <w:pPr>
                    <w:pStyle w:val="215"/>
                  </w:pPr>
                </w:p>
              </w:tc>
              <w:tc>
                <w:tcPr>
                  <w:tcW w:w="416" w:type="pct"/>
                  <w:shd w:val="clear" w:color="auto" w:fill="auto"/>
                  <w:vAlign w:val="center"/>
                </w:tcPr>
                <w:p>
                  <w:pPr>
                    <w:pStyle w:val="215"/>
                  </w:pPr>
                  <w:r>
                    <w:rPr>
                      <w:lang w:bidi="ar"/>
                    </w:rPr>
                    <w:t>套</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3.1</w:t>
                  </w:r>
                </w:p>
              </w:tc>
              <w:tc>
                <w:tcPr>
                  <w:tcW w:w="1293" w:type="pct"/>
                  <w:shd w:val="clear" w:color="auto" w:fill="auto"/>
                  <w:vAlign w:val="center"/>
                </w:tcPr>
                <w:p>
                  <w:pPr>
                    <w:pStyle w:val="215"/>
                  </w:pPr>
                  <w:r>
                    <w:rPr>
                      <w:lang w:bidi="ar"/>
                    </w:rPr>
                    <w:t>热风炉</w:t>
                  </w:r>
                </w:p>
              </w:tc>
              <w:tc>
                <w:tcPr>
                  <w:tcW w:w="1137" w:type="pct"/>
                  <w:shd w:val="clear" w:color="auto" w:fill="auto"/>
                  <w:vAlign w:val="center"/>
                </w:tcPr>
                <w:p>
                  <w:pPr>
                    <w:pStyle w:val="215"/>
                  </w:pPr>
                  <w:r>
                    <w:rPr>
                      <w:lang w:bidi="ar"/>
                    </w:rPr>
                    <w:t>600 大卡</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3.2</w:t>
                  </w:r>
                </w:p>
              </w:tc>
              <w:tc>
                <w:tcPr>
                  <w:tcW w:w="1293" w:type="pct"/>
                  <w:shd w:val="clear" w:color="auto" w:fill="auto"/>
                  <w:vAlign w:val="center"/>
                </w:tcPr>
                <w:p>
                  <w:pPr>
                    <w:pStyle w:val="215"/>
                  </w:pPr>
                  <w:r>
                    <w:rPr>
                      <w:lang w:bidi="ar"/>
                    </w:rPr>
                    <w:t>单通道干燥机</w:t>
                  </w:r>
                </w:p>
              </w:tc>
              <w:tc>
                <w:tcPr>
                  <w:tcW w:w="1137" w:type="pct"/>
                  <w:shd w:val="clear" w:color="auto" w:fill="auto"/>
                  <w:vAlign w:val="center"/>
                </w:tcPr>
                <w:p>
                  <w:pPr>
                    <w:pStyle w:val="215"/>
                  </w:pPr>
                  <w:r>
                    <w:rPr>
                      <w:lang w:bidi="ar"/>
                    </w:rPr>
                    <w:t>BG218</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3.3</w:t>
                  </w:r>
                </w:p>
              </w:tc>
              <w:tc>
                <w:tcPr>
                  <w:tcW w:w="1293" w:type="pct"/>
                  <w:shd w:val="clear" w:color="auto" w:fill="auto"/>
                  <w:vAlign w:val="center"/>
                </w:tcPr>
                <w:p>
                  <w:pPr>
                    <w:pStyle w:val="215"/>
                  </w:pPr>
                  <w:r>
                    <w:rPr>
                      <w:lang w:bidi="ar"/>
                    </w:rPr>
                    <w:t>风机</w:t>
                  </w:r>
                </w:p>
              </w:tc>
              <w:tc>
                <w:tcPr>
                  <w:tcW w:w="1137" w:type="pct"/>
                  <w:shd w:val="clear" w:color="auto" w:fill="auto"/>
                  <w:vAlign w:val="center"/>
                </w:tcPr>
                <w:p>
                  <w:pPr>
                    <w:pStyle w:val="215"/>
                  </w:pPr>
                  <w:r>
                    <w:rPr>
                      <w:lang w:bidi="ar"/>
                    </w:rPr>
                    <w:t>Y5-48</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3.4</w:t>
                  </w:r>
                </w:p>
              </w:tc>
              <w:tc>
                <w:tcPr>
                  <w:tcW w:w="1293" w:type="pct"/>
                  <w:shd w:val="clear" w:color="auto" w:fill="auto"/>
                  <w:vAlign w:val="center"/>
                </w:tcPr>
                <w:p>
                  <w:pPr>
                    <w:pStyle w:val="215"/>
                  </w:pPr>
                  <w:r>
                    <w:rPr>
                      <w:lang w:bidi="ar"/>
                    </w:rPr>
                    <w:t>旋风分离器</w:t>
                  </w:r>
                </w:p>
              </w:tc>
              <w:tc>
                <w:tcPr>
                  <w:tcW w:w="1137" w:type="pct"/>
                  <w:shd w:val="clear" w:color="auto" w:fill="auto"/>
                  <w:vAlign w:val="center"/>
                </w:tcPr>
                <w:p>
                  <w:pPr>
                    <w:pStyle w:val="215"/>
                  </w:pPr>
                  <w:r>
                    <w:rPr>
                      <w:lang w:bidi="ar"/>
                    </w:rPr>
                    <w:t>BFL-4500</w:t>
                  </w:r>
                </w:p>
              </w:tc>
              <w:tc>
                <w:tcPr>
                  <w:tcW w:w="416" w:type="pct"/>
                  <w:shd w:val="clear" w:color="auto" w:fill="auto"/>
                  <w:vAlign w:val="center"/>
                </w:tcPr>
                <w:p>
                  <w:pPr>
                    <w:pStyle w:val="215"/>
                  </w:pPr>
                  <w:r>
                    <w:rPr>
                      <w:lang w:bidi="ar"/>
                    </w:rPr>
                    <w:t>套</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3.5</w:t>
                  </w:r>
                </w:p>
              </w:tc>
              <w:tc>
                <w:tcPr>
                  <w:tcW w:w="1293" w:type="pct"/>
                  <w:shd w:val="clear" w:color="auto" w:fill="auto"/>
                  <w:vAlign w:val="center"/>
                </w:tcPr>
                <w:p>
                  <w:pPr>
                    <w:pStyle w:val="215"/>
                  </w:pPr>
                  <w:r>
                    <w:rPr>
                      <w:lang w:bidi="ar"/>
                    </w:rPr>
                    <w:t>支架和管道</w:t>
                  </w:r>
                </w:p>
              </w:tc>
              <w:tc>
                <w:tcPr>
                  <w:tcW w:w="1137" w:type="pct"/>
                  <w:shd w:val="clear" w:color="auto" w:fill="auto"/>
                  <w:vAlign w:val="center"/>
                </w:tcPr>
                <w:p>
                  <w:pPr>
                    <w:pStyle w:val="215"/>
                  </w:pPr>
                </w:p>
              </w:tc>
              <w:tc>
                <w:tcPr>
                  <w:tcW w:w="416" w:type="pct"/>
                  <w:shd w:val="clear" w:color="auto" w:fill="auto"/>
                  <w:vAlign w:val="center"/>
                </w:tcPr>
                <w:p>
                  <w:pPr>
                    <w:pStyle w:val="215"/>
                  </w:pPr>
                  <w:r>
                    <w:rPr>
                      <w:lang w:bidi="ar"/>
                    </w:rPr>
                    <w:t>套</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3.6</w:t>
                  </w:r>
                </w:p>
              </w:tc>
              <w:tc>
                <w:tcPr>
                  <w:tcW w:w="1293" w:type="pct"/>
                  <w:shd w:val="clear" w:color="auto" w:fill="auto"/>
                  <w:vAlign w:val="center"/>
                </w:tcPr>
                <w:p>
                  <w:pPr>
                    <w:pStyle w:val="215"/>
                  </w:pPr>
                  <w:r>
                    <w:rPr>
                      <w:lang w:bidi="ar"/>
                    </w:rPr>
                    <w:t>旋风分离器</w:t>
                  </w:r>
                </w:p>
              </w:tc>
              <w:tc>
                <w:tcPr>
                  <w:tcW w:w="1137" w:type="pct"/>
                  <w:shd w:val="clear" w:color="auto" w:fill="auto"/>
                  <w:vAlign w:val="center"/>
                </w:tcPr>
                <w:p>
                  <w:pPr>
                    <w:pStyle w:val="215"/>
                  </w:pPr>
                  <w:r>
                    <w:rPr>
                      <w:lang w:bidi="ar"/>
                    </w:rPr>
                    <w:t>BFL-3500</w:t>
                  </w:r>
                </w:p>
              </w:tc>
              <w:tc>
                <w:tcPr>
                  <w:tcW w:w="416" w:type="pct"/>
                  <w:shd w:val="clear" w:color="auto" w:fill="auto"/>
                  <w:vAlign w:val="center"/>
                </w:tcPr>
                <w:p>
                  <w:pPr>
                    <w:pStyle w:val="215"/>
                  </w:pPr>
                  <w:r>
                    <w:rPr>
                      <w:lang w:bidi="ar"/>
                    </w:rPr>
                    <w:t>套</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3.7</w:t>
                  </w:r>
                </w:p>
              </w:tc>
              <w:tc>
                <w:tcPr>
                  <w:tcW w:w="1293" w:type="pct"/>
                  <w:shd w:val="clear" w:color="auto" w:fill="auto"/>
                  <w:vAlign w:val="center"/>
                </w:tcPr>
                <w:p>
                  <w:pPr>
                    <w:pStyle w:val="215"/>
                  </w:pPr>
                  <w:r>
                    <w:rPr>
                      <w:lang w:bidi="ar"/>
                    </w:rPr>
                    <w:t>星型下料器</w:t>
                  </w:r>
                </w:p>
              </w:tc>
              <w:tc>
                <w:tcPr>
                  <w:tcW w:w="1137" w:type="pct"/>
                  <w:shd w:val="clear" w:color="auto" w:fill="auto"/>
                  <w:vAlign w:val="center"/>
                </w:tcPr>
                <w:p>
                  <w:pPr>
                    <w:pStyle w:val="215"/>
                  </w:pPr>
                  <w:r>
                    <w:rPr>
                      <w:lang w:bidi="ar"/>
                    </w:rPr>
                    <w:t>BXL61</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pPr>
                  <w:r>
                    <w:rPr>
                      <w:lang w:bidi="ar"/>
                    </w:rPr>
                    <w:t>螺旋运输机</w:t>
                  </w:r>
                </w:p>
              </w:tc>
              <w:tc>
                <w:tcPr>
                  <w:tcW w:w="1137" w:type="pct"/>
                  <w:shd w:val="clear" w:color="auto" w:fill="auto"/>
                  <w:vAlign w:val="center"/>
                </w:tcPr>
                <w:p>
                  <w:pPr>
                    <w:pStyle w:val="215"/>
                  </w:pPr>
                  <w:r>
                    <w:rPr>
                      <w:lang w:bidi="ar"/>
                    </w:rPr>
                    <w:t>BZY2168/9</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pPr>
                  <w:r>
                    <w:rPr>
                      <w:lang w:bidi="ar"/>
                    </w:rPr>
                    <w:t>正反螺旋运输机</w:t>
                  </w:r>
                </w:p>
              </w:tc>
              <w:tc>
                <w:tcPr>
                  <w:tcW w:w="1137" w:type="pct"/>
                  <w:shd w:val="clear" w:color="auto" w:fill="auto"/>
                  <w:vAlign w:val="center"/>
                </w:tcPr>
                <w:p>
                  <w:pPr>
                    <w:pStyle w:val="215"/>
                  </w:pPr>
                  <w:r>
                    <w:rPr>
                      <w:lang w:bidi="ar"/>
                    </w:rPr>
                    <w:t>BZY2150/6.7</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pPr>
                  <w:r>
                    <w:rPr>
                      <w:lang w:bidi="ar"/>
                    </w:rPr>
                    <w:t>矩形摆筛</w:t>
                  </w:r>
                </w:p>
              </w:tc>
              <w:tc>
                <w:tcPr>
                  <w:tcW w:w="1137" w:type="pct"/>
                  <w:shd w:val="clear" w:color="auto" w:fill="auto"/>
                  <w:vAlign w:val="center"/>
                </w:tcPr>
                <w:p>
                  <w:pPr>
                    <w:pStyle w:val="215"/>
                  </w:pPr>
                  <w:r>
                    <w:rPr>
                      <w:lang w:bidi="ar"/>
                    </w:rPr>
                    <w:t>BF14120</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r>
                    <w:rPr>
                      <w:lang w:bidi="ar"/>
                    </w:rPr>
                    <w:t>筛分面积 20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7</w:t>
                  </w:r>
                </w:p>
              </w:tc>
              <w:tc>
                <w:tcPr>
                  <w:tcW w:w="1293" w:type="pct"/>
                  <w:shd w:val="clear" w:color="auto" w:fill="auto"/>
                  <w:vAlign w:val="center"/>
                </w:tcPr>
                <w:p>
                  <w:pPr>
                    <w:pStyle w:val="215"/>
                  </w:pPr>
                  <w:r>
                    <w:rPr>
                      <w:lang w:bidi="ar"/>
                    </w:rPr>
                    <w:t>螺旋运输机</w:t>
                  </w:r>
                </w:p>
              </w:tc>
              <w:tc>
                <w:tcPr>
                  <w:tcW w:w="1137" w:type="pct"/>
                  <w:shd w:val="clear" w:color="auto" w:fill="auto"/>
                  <w:vAlign w:val="center"/>
                </w:tcPr>
                <w:p>
                  <w:pPr>
                    <w:pStyle w:val="215"/>
                  </w:pPr>
                  <w:r>
                    <w:rPr>
                      <w:lang w:bidi="ar"/>
                    </w:rPr>
                    <w:t>BZY2140/7.5</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w:t>
                  </w:r>
                </w:p>
              </w:tc>
              <w:tc>
                <w:tcPr>
                  <w:tcW w:w="1293" w:type="pct"/>
                  <w:shd w:val="clear" w:color="auto" w:fill="auto"/>
                  <w:vAlign w:val="center"/>
                </w:tcPr>
                <w:p>
                  <w:pPr>
                    <w:pStyle w:val="215"/>
                  </w:pPr>
                  <w:r>
                    <w:rPr>
                      <w:lang w:bidi="ar"/>
                    </w:rPr>
                    <w:t>打磨螺旋运输机</w:t>
                  </w:r>
                </w:p>
              </w:tc>
              <w:tc>
                <w:tcPr>
                  <w:tcW w:w="1137" w:type="pct"/>
                  <w:shd w:val="clear" w:color="auto" w:fill="auto"/>
                  <w:vAlign w:val="center"/>
                </w:tcPr>
                <w:p>
                  <w:pPr>
                    <w:pStyle w:val="215"/>
                  </w:pPr>
                  <w:r>
                    <w:rPr>
                      <w:lang w:bidi="ar"/>
                    </w:rPr>
                    <w:t>BZY2140/7.5</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9</w:t>
                  </w:r>
                </w:p>
              </w:tc>
              <w:tc>
                <w:tcPr>
                  <w:tcW w:w="1293" w:type="pct"/>
                  <w:shd w:val="clear" w:color="auto" w:fill="auto"/>
                  <w:vAlign w:val="center"/>
                </w:tcPr>
                <w:p>
                  <w:pPr>
                    <w:pStyle w:val="215"/>
                  </w:pPr>
                  <w:r>
                    <w:rPr>
                      <w:lang w:bidi="ar"/>
                    </w:rPr>
                    <w:t>螺旋运输机</w:t>
                  </w:r>
                </w:p>
              </w:tc>
              <w:tc>
                <w:tcPr>
                  <w:tcW w:w="1137" w:type="pct"/>
                  <w:shd w:val="clear" w:color="auto" w:fill="auto"/>
                  <w:vAlign w:val="center"/>
                </w:tcPr>
                <w:p>
                  <w:pPr>
                    <w:pStyle w:val="215"/>
                  </w:pPr>
                  <w:r>
                    <w:rPr>
                      <w:lang w:bidi="ar"/>
                    </w:rPr>
                    <w:t>BZY2130/5.7</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vMerge w:val="restart"/>
                  <w:shd w:val="clear" w:color="auto" w:fill="auto"/>
                  <w:vAlign w:val="center"/>
                </w:tcPr>
                <w:p>
                  <w:pPr>
                    <w:pStyle w:val="215"/>
                    <w:rPr>
                      <w:lang w:bidi="ar"/>
                    </w:rPr>
                  </w:pPr>
                  <w:r>
                    <w:rPr>
                      <w:lang w:bidi="ar"/>
                    </w:rPr>
                    <w:t>10</w:t>
                  </w:r>
                </w:p>
              </w:tc>
              <w:tc>
                <w:tcPr>
                  <w:tcW w:w="1293" w:type="pct"/>
                  <w:shd w:val="clear" w:color="auto" w:fill="auto"/>
                  <w:vAlign w:val="center"/>
                </w:tcPr>
                <w:p>
                  <w:pPr>
                    <w:pStyle w:val="215"/>
                    <w:rPr>
                      <w:lang w:bidi="ar"/>
                    </w:rPr>
                  </w:pPr>
                  <w:r>
                    <w:rPr>
                      <w:lang w:bidi="ar"/>
                    </w:rPr>
                    <w:t>打磨机</w:t>
                  </w:r>
                </w:p>
              </w:tc>
              <w:tc>
                <w:tcPr>
                  <w:tcW w:w="1137" w:type="pct"/>
                  <w:vMerge w:val="restart"/>
                  <w:shd w:val="clear" w:color="auto" w:fill="auto"/>
                  <w:vAlign w:val="center"/>
                </w:tcPr>
                <w:p>
                  <w:pPr>
                    <w:pStyle w:val="215"/>
                    <w:rPr>
                      <w:lang w:bidi="ar"/>
                    </w:rPr>
                  </w:pPr>
                  <w:r>
                    <w:rPr>
                      <w:lang w:bidi="ar"/>
                    </w:rPr>
                    <w:t>BX5612</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vMerge w:val="continue"/>
                  <w:shd w:val="clear" w:color="auto" w:fill="auto"/>
                  <w:vAlign w:val="center"/>
                </w:tcPr>
                <w:p>
                  <w:pPr>
                    <w:pStyle w:val="215"/>
                    <w:rPr>
                      <w:lang w:bidi="ar"/>
                    </w:rPr>
                  </w:pPr>
                </w:p>
              </w:tc>
              <w:tc>
                <w:tcPr>
                  <w:tcW w:w="1293" w:type="pct"/>
                  <w:shd w:val="clear" w:color="auto" w:fill="auto"/>
                  <w:vAlign w:val="center"/>
                </w:tcPr>
                <w:p>
                  <w:pPr>
                    <w:pStyle w:val="215"/>
                    <w:rPr>
                      <w:lang w:bidi="ar"/>
                    </w:rPr>
                  </w:pPr>
                  <w:r>
                    <w:rPr>
                      <w:lang w:bidi="ar"/>
                    </w:rPr>
                    <w:t>粉碎机</w:t>
                  </w:r>
                </w:p>
              </w:tc>
              <w:tc>
                <w:tcPr>
                  <w:tcW w:w="1137" w:type="pct"/>
                  <w:vMerge w:val="continue"/>
                  <w:shd w:val="clear" w:color="auto" w:fill="auto"/>
                  <w:vAlign w:val="center"/>
                </w:tcPr>
                <w:p>
                  <w:pPr>
                    <w:pStyle w:val="215"/>
                    <w:rPr>
                      <w:lang w:bidi="ar"/>
                    </w:rPr>
                  </w:pP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w:t>
                  </w:r>
                </w:p>
              </w:tc>
              <w:tc>
                <w:tcPr>
                  <w:tcW w:w="1293" w:type="pct"/>
                  <w:shd w:val="clear" w:color="auto" w:fill="auto"/>
                  <w:vAlign w:val="center"/>
                </w:tcPr>
                <w:p>
                  <w:pPr>
                    <w:pStyle w:val="215"/>
                    <w:rPr>
                      <w:lang w:bidi="ar"/>
                    </w:rPr>
                  </w:pPr>
                  <w:r>
                    <w:rPr>
                      <w:lang w:bidi="ar"/>
                    </w:rPr>
                    <w:t>螺旋运输机</w:t>
                  </w:r>
                </w:p>
              </w:tc>
              <w:tc>
                <w:tcPr>
                  <w:tcW w:w="1137" w:type="pct"/>
                  <w:shd w:val="clear" w:color="auto" w:fill="auto"/>
                  <w:vAlign w:val="center"/>
                </w:tcPr>
                <w:p>
                  <w:pPr>
                    <w:pStyle w:val="215"/>
                    <w:rPr>
                      <w:lang w:bidi="ar"/>
                    </w:rPr>
                  </w:pPr>
                  <w:r>
                    <w:rPr>
                      <w:lang w:bidi="ar"/>
                    </w:rPr>
                    <w:t>BZY2130/3</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w:t>
                  </w:r>
                </w:p>
              </w:tc>
              <w:tc>
                <w:tcPr>
                  <w:tcW w:w="1293" w:type="pct"/>
                  <w:shd w:val="clear" w:color="auto" w:fill="auto"/>
                  <w:vAlign w:val="center"/>
                </w:tcPr>
                <w:p>
                  <w:pPr>
                    <w:pStyle w:val="215"/>
                    <w:rPr>
                      <w:lang w:bidi="ar"/>
                    </w:rPr>
                  </w:pPr>
                  <w:r>
                    <w:rPr>
                      <w:lang w:bidi="ar"/>
                    </w:rPr>
                    <w:t>打磨风送系统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9-19NO.12.5D</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12.2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BFL-1800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BXL61</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16SLC300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84" w:type="pct"/>
                  <w:shd w:val="clear" w:color="auto" w:fill="auto"/>
                  <w:vAlign w:val="center"/>
                </w:tcPr>
                <w:p>
                  <w:pPr>
                    <w:pStyle w:val="215"/>
                    <w:rPr>
                      <w:lang w:bidi="ar"/>
                    </w:rPr>
                  </w:pPr>
                  <w:r>
                    <w:rPr>
                      <w:lang w:bidi="ar"/>
                    </w:rPr>
                    <w:t>12.6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13</w:t>
                  </w:r>
                </w:p>
              </w:tc>
              <w:tc>
                <w:tcPr>
                  <w:tcW w:w="1293" w:type="pct"/>
                  <w:shd w:val="clear" w:color="auto" w:fill="auto"/>
                  <w:vAlign w:val="center"/>
                </w:tcPr>
                <w:p>
                  <w:pPr>
                    <w:pStyle w:val="215"/>
                    <w:rPr>
                      <w:lang w:bidi="ar"/>
                    </w:rPr>
                  </w:pPr>
                  <w:r>
                    <w:rPr>
                      <w:lang w:bidi="ar"/>
                    </w:rPr>
                    <w:t>表料料仓出料器</w:t>
                  </w:r>
                </w:p>
              </w:tc>
              <w:tc>
                <w:tcPr>
                  <w:tcW w:w="1137" w:type="pct"/>
                  <w:shd w:val="clear" w:color="auto" w:fill="auto"/>
                  <w:vAlign w:val="center"/>
                </w:tcPr>
                <w:p>
                  <w:pPr>
                    <w:pStyle w:val="215"/>
                    <w:rPr>
                      <w:lang w:bidi="ar"/>
                    </w:rPr>
                  </w:pPr>
                  <w:r>
                    <w:rPr>
                      <w:lang w:bidi="ar"/>
                    </w:rPr>
                    <w:t>BLC2350</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14</w:t>
                  </w:r>
                </w:p>
              </w:tc>
              <w:tc>
                <w:tcPr>
                  <w:tcW w:w="1293" w:type="pct"/>
                  <w:shd w:val="clear" w:color="auto" w:fill="auto"/>
                  <w:vAlign w:val="center"/>
                </w:tcPr>
                <w:p>
                  <w:pPr>
                    <w:pStyle w:val="215"/>
                    <w:rPr>
                      <w:lang w:bidi="ar"/>
                    </w:rPr>
                  </w:pPr>
                  <w:r>
                    <w:rPr>
                      <w:lang w:bidi="ar"/>
                    </w:rPr>
                    <w:t>表料风送系统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14.1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9-26NO.12.5D</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14.2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BFL-2000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14.3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BXL61</w:t>
                  </w:r>
                </w:p>
              </w:tc>
              <w:tc>
                <w:tcPr>
                  <w:tcW w:w="416" w:type="pct"/>
                  <w:shd w:val="clear" w:color="auto" w:fill="auto"/>
                  <w:vAlign w:val="center"/>
                </w:tcPr>
                <w:p>
                  <w:pPr>
                    <w:pStyle w:val="215"/>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14.4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14.5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16SLC400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14.6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15</w:t>
                  </w:r>
                </w:p>
              </w:tc>
              <w:tc>
                <w:tcPr>
                  <w:tcW w:w="1293" w:type="pct"/>
                  <w:shd w:val="clear" w:color="auto" w:fill="auto"/>
                  <w:vAlign w:val="center"/>
                </w:tcPr>
                <w:p>
                  <w:pPr>
                    <w:pStyle w:val="215"/>
                    <w:rPr>
                      <w:lang w:bidi="ar"/>
                    </w:rPr>
                  </w:pPr>
                  <w:r>
                    <w:rPr>
                      <w:lang w:bidi="ar"/>
                    </w:rPr>
                    <w:t>螺旋运输机</w:t>
                  </w:r>
                </w:p>
              </w:tc>
              <w:tc>
                <w:tcPr>
                  <w:tcW w:w="1137" w:type="pct"/>
                  <w:shd w:val="clear" w:color="auto" w:fill="auto"/>
                  <w:vAlign w:val="center"/>
                </w:tcPr>
                <w:p>
                  <w:pPr>
                    <w:pStyle w:val="215"/>
                    <w:rPr>
                      <w:lang w:bidi="ar"/>
                    </w:rPr>
                  </w:pPr>
                  <w:r>
                    <w:rPr>
                      <w:lang w:bidi="ar"/>
                    </w:rPr>
                    <w:t>BZY2150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16</w:t>
                  </w:r>
                </w:p>
              </w:tc>
              <w:tc>
                <w:tcPr>
                  <w:tcW w:w="1293" w:type="pct"/>
                  <w:shd w:val="clear" w:color="auto" w:fill="auto"/>
                  <w:vAlign w:val="center"/>
                </w:tcPr>
                <w:p>
                  <w:pPr>
                    <w:pStyle w:val="215"/>
                    <w:rPr>
                      <w:lang w:bidi="ar"/>
                    </w:rPr>
                  </w:pPr>
                  <w:r>
                    <w:rPr>
                      <w:lang w:bidi="ar"/>
                    </w:rPr>
                    <w:t>计量料仓</w:t>
                  </w:r>
                </w:p>
              </w:tc>
              <w:tc>
                <w:tcPr>
                  <w:tcW w:w="1137" w:type="pct"/>
                  <w:shd w:val="clear" w:color="auto" w:fill="auto"/>
                  <w:vAlign w:val="center"/>
                </w:tcPr>
                <w:p>
                  <w:pPr>
                    <w:pStyle w:val="215"/>
                    <w:rPr>
                      <w:lang w:bidi="ar"/>
                    </w:rPr>
                  </w:pPr>
                  <w:r>
                    <w:rPr>
                      <w:lang w:bidi="ar"/>
                    </w:rPr>
                    <w:t>BLC2805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17</w:t>
                  </w:r>
                </w:p>
              </w:tc>
              <w:tc>
                <w:tcPr>
                  <w:tcW w:w="1293" w:type="pct"/>
                  <w:shd w:val="clear" w:color="auto" w:fill="auto"/>
                  <w:vAlign w:val="center"/>
                </w:tcPr>
                <w:p>
                  <w:pPr>
                    <w:pStyle w:val="215"/>
                    <w:rPr>
                      <w:lang w:bidi="ar"/>
                    </w:rPr>
                  </w:pPr>
                  <w:r>
                    <w:rPr>
                      <w:lang w:bidi="ar"/>
                    </w:rPr>
                    <w:t>环形拌胶机</w:t>
                  </w:r>
                </w:p>
              </w:tc>
              <w:tc>
                <w:tcPr>
                  <w:tcW w:w="1137" w:type="pct"/>
                  <w:shd w:val="clear" w:color="auto" w:fill="auto"/>
                  <w:vAlign w:val="center"/>
                </w:tcPr>
                <w:p>
                  <w:pPr>
                    <w:pStyle w:val="215"/>
                    <w:rPr>
                      <w:lang w:bidi="ar"/>
                    </w:rPr>
                  </w:pPr>
                  <w:r>
                    <w:rPr>
                      <w:lang w:bidi="ar"/>
                    </w:rPr>
                    <w:t>BS125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18</w:t>
                  </w:r>
                </w:p>
              </w:tc>
              <w:tc>
                <w:tcPr>
                  <w:tcW w:w="1293" w:type="pct"/>
                  <w:shd w:val="clear" w:color="auto" w:fill="auto"/>
                  <w:vAlign w:val="center"/>
                </w:tcPr>
                <w:p>
                  <w:pPr>
                    <w:pStyle w:val="215"/>
                    <w:rPr>
                      <w:lang w:bidi="ar"/>
                    </w:rPr>
                  </w:pPr>
                  <w:r>
                    <w:rPr>
                      <w:lang w:bidi="ar"/>
                    </w:rPr>
                    <w:t>芯层料仓出料器</w:t>
                  </w:r>
                </w:p>
              </w:tc>
              <w:tc>
                <w:tcPr>
                  <w:tcW w:w="1137" w:type="pct"/>
                  <w:shd w:val="clear" w:color="auto" w:fill="auto"/>
                  <w:vAlign w:val="center"/>
                </w:tcPr>
                <w:p>
                  <w:pPr>
                    <w:pStyle w:val="215"/>
                    <w:rPr>
                      <w:lang w:bidi="ar"/>
                    </w:rPr>
                  </w:pPr>
                  <w:r>
                    <w:rPr>
                      <w:lang w:bidi="ar"/>
                    </w:rPr>
                    <w:t>BLC2350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19</w:t>
                  </w:r>
                </w:p>
              </w:tc>
              <w:tc>
                <w:tcPr>
                  <w:tcW w:w="1293" w:type="pct"/>
                  <w:shd w:val="clear" w:color="auto" w:fill="auto"/>
                  <w:vAlign w:val="center"/>
                </w:tcPr>
                <w:p>
                  <w:pPr>
                    <w:pStyle w:val="215"/>
                    <w:rPr>
                      <w:lang w:bidi="ar"/>
                    </w:rPr>
                  </w:pPr>
                  <w:r>
                    <w:rPr>
                      <w:lang w:bidi="ar"/>
                    </w:rPr>
                    <w:t>芯料风送系统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84" w:type="pct"/>
                  <w:shd w:val="clear" w:color="auto" w:fill="auto"/>
                  <w:vAlign w:val="center"/>
                </w:tcPr>
                <w:p>
                  <w:pPr>
                    <w:pStyle w:val="215"/>
                    <w:rPr>
                      <w:lang w:bidi="ar"/>
                    </w:rPr>
                  </w:pPr>
                  <w:r>
                    <w:rPr>
                      <w:lang w:bidi="ar"/>
                    </w:rPr>
                    <w:t>19.1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9-26NO.12.5D</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19.2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BFL-2500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19.3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BXL91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19.4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19.5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62SLC400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19.6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20</w:t>
                  </w:r>
                </w:p>
              </w:tc>
              <w:tc>
                <w:tcPr>
                  <w:tcW w:w="1293" w:type="pct"/>
                  <w:shd w:val="clear" w:color="auto" w:fill="auto"/>
                  <w:vAlign w:val="center"/>
                </w:tcPr>
                <w:p>
                  <w:pPr>
                    <w:pStyle w:val="215"/>
                    <w:rPr>
                      <w:lang w:bidi="ar"/>
                    </w:rPr>
                  </w:pPr>
                  <w:r>
                    <w:rPr>
                      <w:lang w:bidi="ar"/>
                    </w:rPr>
                    <w:t>螺旋运输机</w:t>
                  </w:r>
                </w:p>
              </w:tc>
              <w:tc>
                <w:tcPr>
                  <w:tcW w:w="1137" w:type="pct"/>
                  <w:shd w:val="clear" w:color="auto" w:fill="auto"/>
                  <w:vAlign w:val="center"/>
                </w:tcPr>
                <w:p>
                  <w:pPr>
                    <w:pStyle w:val="215"/>
                    <w:rPr>
                      <w:lang w:bidi="ar"/>
                    </w:rPr>
                  </w:pPr>
                  <w:r>
                    <w:rPr>
                      <w:lang w:bidi="ar"/>
                    </w:rPr>
                    <w:t>BZY2150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21</w:t>
                  </w:r>
                </w:p>
              </w:tc>
              <w:tc>
                <w:tcPr>
                  <w:tcW w:w="1293" w:type="pct"/>
                  <w:shd w:val="clear" w:color="auto" w:fill="auto"/>
                  <w:vAlign w:val="center"/>
                </w:tcPr>
                <w:p>
                  <w:pPr>
                    <w:pStyle w:val="215"/>
                    <w:rPr>
                      <w:lang w:bidi="ar"/>
                    </w:rPr>
                  </w:pPr>
                  <w:r>
                    <w:rPr>
                      <w:lang w:bidi="ar"/>
                    </w:rPr>
                    <w:t>计量料仓</w:t>
                  </w:r>
                </w:p>
              </w:tc>
              <w:tc>
                <w:tcPr>
                  <w:tcW w:w="1137" w:type="pct"/>
                  <w:shd w:val="clear" w:color="auto" w:fill="auto"/>
                  <w:vAlign w:val="center"/>
                </w:tcPr>
                <w:p>
                  <w:pPr>
                    <w:pStyle w:val="215"/>
                    <w:rPr>
                      <w:lang w:bidi="ar"/>
                    </w:rPr>
                  </w:pPr>
                  <w:r>
                    <w:rPr>
                      <w:lang w:bidi="ar"/>
                    </w:rPr>
                    <w:t>BLC2805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22</w:t>
                  </w:r>
                </w:p>
              </w:tc>
              <w:tc>
                <w:tcPr>
                  <w:tcW w:w="1293" w:type="pct"/>
                  <w:shd w:val="clear" w:color="auto" w:fill="auto"/>
                  <w:vAlign w:val="center"/>
                </w:tcPr>
                <w:p>
                  <w:pPr>
                    <w:pStyle w:val="215"/>
                    <w:rPr>
                      <w:lang w:bidi="ar"/>
                    </w:rPr>
                  </w:pPr>
                  <w:r>
                    <w:rPr>
                      <w:lang w:bidi="ar"/>
                    </w:rPr>
                    <w:t>环形拌胶机</w:t>
                  </w:r>
                </w:p>
              </w:tc>
              <w:tc>
                <w:tcPr>
                  <w:tcW w:w="1137" w:type="pct"/>
                  <w:shd w:val="clear" w:color="auto" w:fill="auto"/>
                  <w:vAlign w:val="center"/>
                </w:tcPr>
                <w:p>
                  <w:pPr>
                    <w:pStyle w:val="215"/>
                    <w:rPr>
                      <w:lang w:bidi="ar"/>
                    </w:rPr>
                  </w:pPr>
                  <w:r>
                    <w:rPr>
                      <w:lang w:bidi="ar"/>
                    </w:rPr>
                    <w:t>BS125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23</w:t>
                  </w:r>
                </w:p>
              </w:tc>
              <w:tc>
                <w:tcPr>
                  <w:tcW w:w="1293" w:type="pct"/>
                  <w:shd w:val="clear" w:color="auto" w:fill="auto"/>
                  <w:vAlign w:val="center"/>
                </w:tcPr>
                <w:p>
                  <w:pPr>
                    <w:pStyle w:val="215"/>
                    <w:rPr>
                      <w:lang w:bidi="ar"/>
                    </w:rPr>
                  </w:pPr>
                  <w:r>
                    <w:rPr>
                      <w:lang w:bidi="ar"/>
                    </w:rPr>
                    <w:t>储胶罐</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pPr>
                  <w:r>
                    <w:t>3</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5000" w:type="pct"/>
                  <w:gridSpan w:val="6"/>
                  <w:shd w:val="clear" w:color="auto" w:fill="auto"/>
                  <w:vAlign w:val="center"/>
                </w:tcPr>
                <w:p>
                  <w:pPr>
                    <w:pStyle w:val="215"/>
                    <w:rPr>
                      <w:b/>
                      <w:bCs w:val="0"/>
                      <w:lang w:bidi="ar"/>
                    </w:rPr>
                  </w:pPr>
                  <w:r>
                    <w:rPr>
                      <w:b/>
                      <w:bCs w:val="0"/>
                      <w:lang w:bidi="ar"/>
                    </w:rPr>
                    <w:t>铺装预压成型运输工段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皮带运输机</w:t>
                  </w:r>
                </w:p>
              </w:tc>
              <w:tc>
                <w:tcPr>
                  <w:tcW w:w="1137" w:type="pct"/>
                  <w:shd w:val="clear" w:color="auto" w:fill="auto"/>
                  <w:vAlign w:val="center"/>
                </w:tcPr>
                <w:p>
                  <w:pPr>
                    <w:pStyle w:val="215"/>
                    <w:rPr>
                      <w:lang w:bidi="ar"/>
                    </w:rPr>
                  </w:pPr>
                  <w:r>
                    <w:rPr>
                      <w:lang w:bidi="ar"/>
                    </w:rPr>
                    <w:t>BZY1180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宽 800mm，V=60m/min</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rPr>
                      <w:lang w:bidi="ar"/>
                    </w:rPr>
                  </w:pPr>
                  <w:r>
                    <w:rPr>
                      <w:lang w:bidi="ar"/>
                    </w:rPr>
                    <w:t>钻石辊铺装机</w:t>
                  </w:r>
                </w:p>
              </w:tc>
              <w:tc>
                <w:tcPr>
                  <w:tcW w:w="1137" w:type="pct"/>
                  <w:shd w:val="clear" w:color="auto" w:fill="auto"/>
                  <w:vAlign w:val="center"/>
                </w:tcPr>
                <w:p>
                  <w:pPr>
                    <w:pStyle w:val="215"/>
                    <w:rPr>
                      <w:lang w:bidi="ar"/>
                    </w:rPr>
                  </w:pPr>
                  <w:r>
                    <w:rPr>
                      <w:lang w:bidi="ar"/>
                    </w:rPr>
                    <w:t>BP3113/8C</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rPr>
                      <w:lang w:bidi="ar"/>
                    </w:rPr>
                  </w:pPr>
                  <w:r>
                    <w:rPr>
                      <w:lang w:bidi="ar"/>
                    </w:rPr>
                    <w:t>铺装尾气回收系统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3.1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9-26NO.12.5D</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BFL-2500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BXL40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3.5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46SLC250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rPr>
                      <w:lang w:bidi="ar"/>
                    </w:rPr>
                  </w:pPr>
                  <w:r>
                    <w:rPr>
                      <w:lang w:bidi="ar"/>
                    </w:rPr>
                    <w:t>齐边横截回收系统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MQS5-54NO.10C</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右 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4.2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BFL-2000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BXL61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46SLC400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4.6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rPr>
                      <w:lang w:bidi="ar"/>
                    </w:rPr>
                  </w:pPr>
                  <w:r>
                    <w:rPr>
                      <w:lang w:bidi="ar"/>
                    </w:rPr>
                    <w:t>三段式连续预压机</w:t>
                  </w:r>
                </w:p>
              </w:tc>
              <w:tc>
                <w:tcPr>
                  <w:tcW w:w="1137" w:type="pct"/>
                  <w:shd w:val="clear" w:color="auto" w:fill="auto"/>
                  <w:vAlign w:val="center"/>
                </w:tcPr>
                <w:p>
                  <w:pPr>
                    <w:pStyle w:val="215"/>
                    <w:rPr>
                      <w:lang w:bidi="ar"/>
                    </w:rPr>
                  </w:pPr>
                  <w:r>
                    <w:rPr>
                      <w:lang w:bidi="ar"/>
                    </w:rPr>
                    <w:t>BY8314/2E</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5.1</w:t>
                  </w:r>
                </w:p>
              </w:tc>
              <w:tc>
                <w:tcPr>
                  <w:tcW w:w="1293" w:type="pct"/>
                  <w:shd w:val="clear" w:color="auto" w:fill="auto"/>
                  <w:vAlign w:val="center"/>
                </w:tcPr>
                <w:p>
                  <w:pPr>
                    <w:pStyle w:val="215"/>
                    <w:rPr>
                      <w:lang w:bidi="ar"/>
                    </w:rPr>
                  </w:pPr>
                  <w:r>
                    <w:rPr>
                      <w:lang w:bidi="ar"/>
                    </w:rPr>
                    <w:t>皮带运输机</w:t>
                  </w:r>
                </w:p>
              </w:tc>
              <w:tc>
                <w:tcPr>
                  <w:tcW w:w="1137" w:type="pct"/>
                  <w:shd w:val="clear" w:color="auto" w:fill="auto"/>
                  <w:vAlign w:val="center"/>
                </w:tcPr>
                <w:p>
                  <w:pPr>
                    <w:pStyle w:val="215"/>
                    <w:rPr>
                      <w:lang w:bidi="ar"/>
                    </w:rPr>
                  </w:pPr>
                  <w:r>
                    <w:rPr>
                      <w:lang w:bidi="ar"/>
                    </w:rPr>
                    <w:t>BZY1150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带宽 800mm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5.2</w:t>
                  </w:r>
                </w:p>
              </w:tc>
              <w:tc>
                <w:tcPr>
                  <w:tcW w:w="1293" w:type="pct"/>
                  <w:shd w:val="clear" w:color="auto" w:fill="auto"/>
                  <w:vAlign w:val="center"/>
                </w:tcPr>
                <w:p>
                  <w:pPr>
                    <w:pStyle w:val="215"/>
                    <w:rPr>
                      <w:lang w:bidi="ar"/>
                    </w:rPr>
                  </w:pPr>
                  <w:r>
                    <w:rPr>
                      <w:lang w:bidi="ar"/>
                    </w:rPr>
                    <w:t>螺旋运输机</w:t>
                  </w:r>
                </w:p>
              </w:tc>
              <w:tc>
                <w:tcPr>
                  <w:tcW w:w="1137" w:type="pct"/>
                  <w:shd w:val="clear" w:color="auto" w:fill="auto"/>
                  <w:vAlign w:val="center"/>
                </w:tcPr>
                <w:p>
                  <w:pPr>
                    <w:pStyle w:val="215"/>
                    <w:rPr>
                      <w:lang w:bidi="ar"/>
                    </w:rPr>
                  </w:pPr>
                  <w:r>
                    <w:rPr>
                      <w:lang w:bidi="ar"/>
                    </w:rPr>
                    <w:t>BZY2130/4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t>1</w:t>
                  </w:r>
                </w:p>
              </w:tc>
              <w:tc>
                <w:tcPr>
                  <w:tcW w:w="1310" w:type="pct"/>
                  <w:shd w:val="clear" w:color="auto" w:fill="auto"/>
                  <w:vAlign w:val="center"/>
                </w:tcPr>
                <w:p>
                  <w:pPr>
                    <w:pStyle w:val="215"/>
                    <w:rPr>
                      <w:lang w:bidi="ar"/>
                    </w:rPr>
                  </w:pPr>
                  <w:r>
                    <w:rPr>
                      <w:lang w:bidi="ar"/>
                    </w:rPr>
                    <w:t>螺旋直径 300mm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rPr>
                      <w:lang w:bidi="ar"/>
                    </w:rPr>
                  </w:pPr>
                  <w:r>
                    <w:rPr>
                      <w:lang w:bidi="ar"/>
                    </w:rPr>
                    <w:t>纵向齐边锯</w:t>
                  </w:r>
                </w:p>
              </w:tc>
              <w:tc>
                <w:tcPr>
                  <w:tcW w:w="1137" w:type="pct"/>
                  <w:shd w:val="clear" w:color="auto" w:fill="auto"/>
                  <w:vAlign w:val="center"/>
                </w:tcPr>
                <w:p>
                  <w:pPr>
                    <w:pStyle w:val="215"/>
                    <w:rPr>
                      <w:lang w:bidi="ar"/>
                    </w:rPr>
                  </w:pPr>
                  <w:r>
                    <w:rPr>
                      <w:lang w:bidi="ar"/>
                    </w:rPr>
                    <w:t>BC113F</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7</w:t>
                  </w:r>
                </w:p>
              </w:tc>
              <w:tc>
                <w:tcPr>
                  <w:tcW w:w="1293" w:type="pct"/>
                  <w:shd w:val="clear" w:color="auto" w:fill="auto"/>
                  <w:vAlign w:val="center"/>
                </w:tcPr>
                <w:p>
                  <w:pPr>
                    <w:pStyle w:val="215"/>
                    <w:rPr>
                      <w:lang w:bidi="ar"/>
                    </w:rPr>
                  </w:pPr>
                  <w:r>
                    <w:rPr>
                      <w:lang w:bidi="ar"/>
                    </w:rPr>
                    <w:t>横截锯</w:t>
                  </w:r>
                </w:p>
              </w:tc>
              <w:tc>
                <w:tcPr>
                  <w:tcW w:w="1137" w:type="pct"/>
                  <w:shd w:val="clear" w:color="auto" w:fill="auto"/>
                  <w:vAlign w:val="center"/>
                </w:tcPr>
                <w:p>
                  <w:pPr>
                    <w:pStyle w:val="215"/>
                    <w:rPr>
                      <w:lang w:bidi="ar"/>
                    </w:rPr>
                  </w:pPr>
                  <w:r>
                    <w:rPr>
                      <w:lang w:bidi="ar"/>
                    </w:rPr>
                    <w:t>BHJ11140-40C</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w:t>
                  </w:r>
                </w:p>
              </w:tc>
              <w:tc>
                <w:tcPr>
                  <w:tcW w:w="1293" w:type="pct"/>
                  <w:shd w:val="clear" w:color="auto" w:fill="auto"/>
                  <w:vAlign w:val="center"/>
                </w:tcPr>
                <w:p>
                  <w:pPr>
                    <w:pStyle w:val="215"/>
                    <w:rPr>
                      <w:lang w:bidi="ar"/>
                    </w:rPr>
                  </w:pPr>
                  <w:r>
                    <w:rPr>
                      <w:lang w:bidi="ar"/>
                    </w:rPr>
                    <w:t>同步运输机</w:t>
                  </w:r>
                </w:p>
              </w:tc>
              <w:tc>
                <w:tcPr>
                  <w:tcW w:w="1137" w:type="pct"/>
                  <w:shd w:val="clear" w:color="auto" w:fill="auto"/>
                  <w:vAlign w:val="center"/>
                </w:tcPr>
                <w:p>
                  <w:pPr>
                    <w:pStyle w:val="215"/>
                    <w:rPr>
                      <w:lang w:bidi="ar"/>
                    </w:rPr>
                  </w:pPr>
                  <w:r>
                    <w:rPr>
                      <w:lang w:bidi="ar"/>
                    </w:rPr>
                    <w:t>BPT1400-60A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9</w:t>
                  </w:r>
                </w:p>
              </w:tc>
              <w:tc>
                <w:tcPr>
                  <w:tcW w:w="1293" w:type="pct"/>
                  <w:shd w:val="clear" w:color="auto" w:fill="auto"/>
                  <w:vAlign w:val="center"/>
                </w:tcPr>
                <w:p>
                  <w:pPr>
                    <w:pStyle w:val="215"/>
                    <w:rPr>
                      <w:lang w:bidi="ar"/>
                    </w:rPr>
                  </w:pPr>
                  <w:r>
                    <w:rPr>
                      <w:lang w:bidi="ar"/>
                    </w:rPr>
                    <w:t>加速运输机</w:t>
                  </w:r>
                </w:p>
              </w:tc>
              <w:tc>
                <w:tcPr>
                  <w:tcW w:w="1137" w:type="pct"/>
                  <w:shd w:val="clear" w:color="auto" w:fill="auto"/>
                  <w:vAlign w:val="center"/>
                </w:tcPr>
                <w:p>
                  <w:pPr>
                    <w:pStyle w:val="215"/>
                    <w:rPr>
                      <w:lang w:bidi="ar"/>
                    </w:rPr>
                  </w:pPr>
                  <w:r>
                    <w:rPr>
                      <w:lang w:bidi="ar"/>
                    </w:rPr>
                    <w:t>BPT1400-60A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10</w:t>
                  </w:r>
                </w:p>
              </w:tc>
              <w:tc>
                <w:tcPr>
                  <w:tcW w:w="1293" w:type="pct"/>
                  <w:shd w:val="clear" w:color="auto" w:fill="auto"/>
                  <w:vAlign w:val="center"/>
                </w:tcPr>
                <w:p>
                  <w:pPr>
                    <w:pStyle w:val="215"/>
                    <w:rPr>
                      <w:lang w:bidi="ar"/>
                    </w:rPr>
                  </w:pPr>
                  <w:r>
                    <w:rPr>
                      <w:lang w:bidi="ar"/>
                    </w:rPr>
                    <w:t>手动翻板机构</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w:t>
                  </w:r>
                </w:p>
              </w:tc>
              <w:tc>
                <w:tcPr>
                  <w:tcW w:w="1293" w:type="pct"/>
                  <w:shd w:val="clear" w:color="auto" w:fill="auto"/>
                  <w:vAlign w:val="center"/>
                </w:tcPr>
                <w:p>
                  <w:pPr>
                    <w:pStyle w:val="215"/>
                    <w:rPr>
                      <w:lang w:bidi="ar"/>
                    </w:rPr>
                  </w:pPr>
                  <w:r>
                    <w:rPr>
                      <w:lang w:bidi="ar"/>
                    </w:rPr>
                    <w:t>称重快速运输机</w:t>
                  </w:r>
                </w:p>
              </w:tc>
              <w:tc>
                <w:tcPr>
                  <w:tcW w:w="1137" w:type="pct"/>
                  <w:shd w:val="clear" w:color="auto" w:fill="auto"/>
                  <w:vAlign w:val="center"/>
                </w:tcPr>
                <w:p>
                  <w:pPr>
                    <w:pStyle w:val="215"/>
                    <w:rPr>
                      <w:lang w:bidi="ar"/>
                    </w:rPr>
                  </w:pPr>
                  <w:r>
                    <w:rPr>
                      <w:lang w:bidi="ar"/>
                    </w:rPr>
                    <w:t>BPK1400-60A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w:t>
                  </w:r>
                </w:p>
              </w:tc>
              <w:tc>
                <w:tcPr>
                  <w:tcW w:w="1293" w:type="pct"/>
                  <w:shd w:val="clear" w:color="auto" w:fill="auto"/>
                  <w:vAlign w:val="center"/>
                </w:tcPr>
                <w:p>
                  <w:pPr>
                    <w:pStyle w:val="215"/>
                    <w:rPr>
                      <w:lang w:bidi="ar"/>
                    </w:rPr>
                  </w:pPr>
                  <w:r>
                    <w:rPr>
                      <w:lang w:bidi="ar"/>
                    </w:rPr>
                    <w:t>快速运输机</w:t>
                  </w:r>
                </w:p>
              </w:tc>
              <w:tc>
                <w:tcPr>
                  <w:tcW w:w="1137" w:type="pct"/>
                  <w:shd w:val="clear" w:color="auto" w:fill="auto"/>
                  <w:vAlign w:val="center"/>
                </w:tcPr>
                <w:p>
                  <w:pPr>
                    <w:pStyle w:val="215"/>
                    <w:rPr>
                      <w:lang w:bidi="ar"/>
                    </w:rPr>
                  </w:pPr>
                  <w:r>
                    <w:rPr>
                      <w:lang w:bidi="ar"/>
                    </w:rPr>
                    <w:t>BPK1400-60A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pPr>
                  <w:r>
                    <w:rPr>
                      <w:lang w:bidi="ar"/>
                    </w:rPr>
                    <w:t>12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13</w:t>
                  </w:r>
                </w:p>
              </w:tc>
              <w:tc>
                <w:tcPr>
                  <w:tcW w:w="1293" w:type="pct"/>
                  <w:shd w:val="clear" w:color="auto" w:fill="auto"/>
                  <w:vAlign w:val="center"/>
                </w:tcPr>
                <w:p>
                  <w:pPr>
                    <w:pStyle w:val="215"/>
                    <w:rPr>
                      <w:lang w:bidi="ar"/>
                    </w:rPr>
                  </w:pPr>
                  <w:r>
                    <w:rPr>
                      <w:lang w:bidi="ar"/>
                    </w:rPr>
                    <w:t>装板运输机</w:t>
                  </w:r>
                </w:p>
              </w:tc>
              <w:tc>
                <w:tcPr>
                  <w:tcW w:w="1137" w:type="pct"/>
                  <w:shd w:val="clear" w:color="auto" w:fill="auto"/>
                  <w:vAlign w:val="center"/>
                </w:tcPr>
                <w:p>
                  <w:pPr>
                    <w:pStyle w:val="215"/>
                    <w:rPr>
                      <w:lang w:bidi="ar"/>
                    </w:rPr>
                  </w:pPr>
                  <w:r>
                    <w:rPr>
                      <w:lang w:bidi="ar"/>
                    </w:rPr>
                    <w:t>BPZ1400-60A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三</w:t>
                  </w:r>
                </w:p>
              </w:tc>
              <w:tc>
                <w:tcPr>
                  <w:tcW w:w="1293" w:type="pct"/>
                  <w:shd w:val="clear" w:color="auto" w:fill="auto"/>
                  <w:vAlign w:val="center"/>
                </w:tcPr>
                <w:p>
                  <w:pPr>
                    <w:pStyle w:val="215"/>
                    <w:rPr>
                      <w:lang w:bidi="ar"/>
                    </w:rPr>
                  </w:pPr>
                  <w:r>
                    <w:rPr>
                      <w:lang w:bidi="ar"/>
                    </w:rPr>
                    <w:t>热压工段</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p>
              </w:tc>
              <w:tc>
                <w:tcPr>
                  <w:tcW w:w="360" w:type="pct"/>
                  <w:shd w:val="clear" w:color="auto" w:fill="auto"/>
                  <w:vAlign w:val="center"/>
                </w:tcPr>
                <w:p>
                  <w:pPr>
                    <w:pStyle w:val="215"/>
                    <w:rPr>
                      <w:lang w:bidi="ar"/>
                    </w:rPr>
                  </w:pP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无垫板装板机</w:t>
                  </w:r>
                </w:p>
              </w:tc>
              <w:tc>
                <w:tcPr>
                  <w:tcW w:w="1137" w:type="pct"/>
                  <w:shd w:val="clear" w:color="auto" w:fill="auto"/>
                  <w:vAlign w:val="center"/>
                </w:tcPr>
                <w:p>
                  <w:pPr>
                    <w:pStyle w:val="215"/>
                    <w:rPr>
                      <w:lang w:bidi="ar"/>
                    </w:rPr>
                  </w:pPr>
                  <w:r>
                    <w:rPr>
                      <w:lang w:bidi="ar"/>
                    </w:rPr>
                    <w:t>BZX124×8-22</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r>
                    <w:rPr>
                      <w:lang w:bidi="ar"/>
                    </w:rPr>
                    <w:t>22 层；1200 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rPr>
                      <w:lang w:bidi="ar"/>
                    </w:rPr>
                  </w:pPr>
                  <w:r>
                    <w:rPr>
                      <w:lang w:bidi="ar"/>
                    </w:rPr>
                    <w:t>热压机</w:t>
                  </w:r>
                </w:p>
              </w:tc>
              <w:tc>
                <w:tcPr>
                  <w:tcW w:w="1137" w:type="pct"/>
                  <w:shd w:val="clear" w:color="auto" w:fill="auto"/>
                  <w:vAlign w:val="center"/>
                </w:tcPr>
                <w:p>
                  <w:pPr>
                    <w:pStyle w:val="215"/>
                    <w:rPr>
                      <w:lang w:bidi="ar"/>
                    </w:rPr>
                  </w:pPr>
                  <w:r>
                    <w:rPr>
                      <w:lang w:bidi="ar"/>
                    </w:rPr>
                    <w:t>BY124×8-12（22）</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2.1</w:t>
                  </w:r>
                </w:p>
              </w:tc>
              <w:tc>
                <w:tcPr>
                  <w:tcW w:w="1293" w:type="pct"/>
                  <w:shd w:val="clear" w:color="auto" w:fill="auto"/>
                  <w:vAlign w:val="center"/>
                </w:tcPr>
                <w:p>
                  <w:pPr>
                    <w:pStyle w:val="215"/>
                    <w:rPr>
                      <w:lang w:bidi="ar"/>
                    </w:rPr>
                  </w:pPr>
                  <w:r>
                    <w:rPr>
                      <w:lang w:bidi="ar"/>
                    </w:rPr>
                    <w:t>排汽风机</w:t>
                  </w:r>
                </w:p>
              </w:tc>
              <w:tc>
                <w:tcPr>
                  <w:tcW w:w="1137" w:type="pct"/>
                  <w:shd w:val="clear" w:color="auto" w:fill="auto"/>
                  <w:vAlign w:val="center"/>
                </w:tcPr>
                <w:p>
                  <w:pPr>
                    <w:pStyle w:val="215"/>
                    <w:rPr>
                      <w:lang w:bidi="ar"/>
                    </w:rPr>
                  </w:pPr>
                  <w:r>
                    <w:rPr>
                      <w:lang w:bidi="ar"/>
                    </w:rPr>
                    <w:t>GD30K2NO.8C</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2.2</w:t>
                  </w:r>
                </w:p>
              </w:tc>
              <w:tc>
                <w:tcPr>
                  <w:tcW w:w="1293" w:type="pct"/>
                  <w:shd w:val="clear" w:color="auto" w:fill="auto"/>
                  <w:vAlign w:val="center"/>
                </w:tcPr>
                <w:p>
                  <w:pPr>
                    <w:pStyle w:val="215"/>
                    <w:rPr>
                      <w:lang w:bidi="ar"/>
                    </w:rPr>
                  </w:pPr>
                  <w:r>
                    <w:rPr>
                      <w:lang w:bidi="ar"/>
                    </w:rPr>
                    <w:t>排气罩</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rPr>
                      <w:lang w:bidi="ar"/>
                    </w:rPr>
                  </w:pPr>
                  <w:r>
                    <w:rPr>
                      <w:lang w:bidi="ar"/>
                    </w:rPr>
                    <w:t>无垫板卸板机</w:t>
                  </w:r>
                </w:p>
              </w:tc>
              <w:tc>
                <w:tcPr>
                  <w:tcW w:w="1137" w:type="pct"/>
                  <w:shd w:val="clear" w:color="auto" w:fill="auto"/>
                  <w:vAlign w:val="center"/>
                </w:tcPr>
                <w:p>
                  <w:pPr>
                    <w:pStyle w:val="215"/>
                    <w:rPr>
                      <w:lang w:bidi="ar"/>
                    </w:rPr>
                  </w:pPr>
                  <w:r>
                    <w:rPr>
                      <w:lang w:bidi="ar"/>
                    </w:rPr>
                    <w:t>BZX144×8-22</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rPr>
                      <w:lang w:bidi="ar"/>
                    </w:rPr>
                  </w:pPr>
                  <w:r>
                    <w:rPr>
                      <w:lang w:bidi="ar"/>
                    </w:rPr>
                    <w:t>卸板运输机</w:t>
                  </w:r>
                </w:p>
              </w:tc>
              <w:tc>
                <w:tcPr>
                  <w:tcW w:w="1137" w:type="pct"/>
                  <w:shd w:val="clear" w:color="auto" w:fill="auto"/>
                  <w:vAlign w:val="center"/>
                </w:tcPr>
                <w:p>
                  <w:pPr>
                    <w:pStyle w:val="215"/>
                    <w:rPr>
                      <w:lang w:bidi="ar"/>
                    </w:rPr>
                  </w:pPr>
                  <w:r>
                    <w:rPr>
                      <w:lang w:bidi="ar"/>
                    </w:rPr>
                    <w:t>BZY1140/5.5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b/>
                      <w:bCs w:val="0"/>
                      <w:lang w:bidi="ar"/>
                    </w:rPr>
                    <w:t>冷却锯边工段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翻板冷却机 A</w:t>
                  </w:r>
                </w:p>
              </w:tc>
              <w:tc>
                <w:tcPr>
                  <w:tcW w:w="1137" w:type="pct"/>
                  <w:shd w:val="clear" w:color="auto" w:fill="auto"/>
                  <w:vAlign w:val="center"/>
                </w:tcPr>
                <w:p>
                  <w:pPr>
                    <w:pStyle w:val="215"/>
                    <w:rPr>
                      <w:lang w:bidi="ar"/>
                    </w:rPr>
                  </w:pPr>
                  <w:r>
                    <w:rPr>
                      <w:lang w:bidi="ar"/>
                    </w:rPr>
                    <w:t>BLF124×8/134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rPr>
                      <w:lang w:bidi="ar"/>
                    </w:rPr>
                  </w:pPr>
                  <w:r>
                    <w:rPr>
                      <w:lang w:bidi="ar"/>
                    </w:rPr>
                    <w:t>过度斜滚筒运输机</w:t>
                  </w:r>
                </w:p>
              </w:tc>
              <w:tc>
                <w:tcPr>
                  <w:tcW w:w="1137" w:type="pct"/>
                  <w:shd w:val="clear" w:color="auto" w:fill="auto"/>
                  <w:vAlign w:val="center"/>
                </w:tcPr>
                <w:p>
                  <w:pPr>
                    <w:pStyle w:val="215"/>
                    <w:rPr>
                      <w:lang w:bidi="ar"/>
                    </w:rPr>
                  </w:pPr>
                  <w:r>
                    <w:rPr>
                      <w:lang w:bidi="ar"/>
                    </w:rPr>
                    <w:t>BZY3013/3.9B</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rPr>
                      <w:lang w:bidi="ar"/>
                    </w:rPr>
                  </w:pPr>
                  <w:r>
                    <w:rPr>
                      <w:lang w:bidi="ar"/>
                    </w:rPr>
                    <w:t>翻板冷却机 B</w:t>
                  </w:r>
                </w:p>
              </w:tc>
              <w:tc>
                <w:tcPr>
                  <w:tcW w:w="1137" w:type="pct"/>
                  <w:shd w:val="clear" w:color="auto" w:fill="auto"/>
                  <w:vAlign w:val="center"/>
                </w:tcPr>
                <w:p>
                  <w:pPr>
                    <w:pStyle w:val="215"/>
                    <w:rPr>
                      <w:lang w:bidi="ar"/>
                    </w:rPr>
                  </w:pPr>
                  <w:r>
                    <w:rPr>
                      <w:lang w:bidi="ar"/>
                    </w:rPr>
                    <w:t>BLF124×8/134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rPr>
                      <w:lang w:bidi="ar"/>
                    </w:rPr>
                  </w:pPr>
                  <w:r>
                    <w:rPr>
                      <w:lang w:bidi="ar"/>
                    </w:rPr>
                    <w:t>斜滚筒运输机</w:t>
                  </w:r>
                </w:p>
              </w:tc>
              <w:tc>
                <w:tcPr>
                  <w:tcW w:w="1137" w:type="pct"/>
                  <w:shd w:val="clear" w:color="auto" w:fill="auto"/>
                  <w:vAlign w:val="center"/>
                </w:tcPr>
                <w:p>
                  <w:pPr>
                    <w:pStyle w:val="215"/>
                    <w:rPr>
                      <w:lang w:bidi="ar"/>
                    </w:rPr>
                  </w:pPr>
                  <w:r>
                    <w:rPr>
                      <w:lang w:bidi="ar"/>
                    </w:rPr>
                    <w:t>BZY3013/3.9B</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rPr>
                      <w:lang w:bidi="ar"/>
                    </w:rPr>
                  </w:pPr>
                  <w:r>
                    <w:rPr>
                      <w:lang w:bidi="ar"/>
                    </w:rPr>
                    <w:t>纵横锯边机组</w:t>
                  </w:r>
                </w:p>
              </w:tc>
              <w:tc>
                <w:tcPr>
                  <w:tcW w:w="1137" w:type="pct"/>
                  <w:shd w:val="clear" w:color="auto" w:fill="auto"/>
                  <w:vAlign w:val="center"/>
                </w:tcPr>
                <w:p>
                  <w:pPr>
                    <w:pStyle w:val="215"/>
                    <w:rPr>
                      <w:lang w:bidi="ar"/>
                    </w:rPr>
                  </w:pPr>
                  <w:r>
                    <w:rPr>
                      <w:lang w:bidi="ar"/>
                    </w:rPr>
                    <w:t>BC3323×8E</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rPr>
                      <w:lang w:bidi="ar"/>
                    </w:rPr>
                  </w:pPr>
                  <w:r>
                    <w:rPr>
                      <w:lang w:bidi="ar"/>
                    </w:rPr>
                    <w:t>纵横锯边、边条粉碎除尘系统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MQS5-54NO.8C</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r>
                    <w:rPr>
                      <w:lang w:bidi="ar"/>
                    </w:rPr>
                    <w:t>右 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BFL-2000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6.3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BXL61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46SLC400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84" w:type="pct"/>
                  <w:shd w:val="clear" w:color="auto" w:fill="auto"/>
                  <w:vAlign w:val="center"/>
                </w:tcPr>
                <w:p>
                  <w:pPr>
                    <w:pStyle w:val="215"/>
                    <w:rPr>
                      <w:lang w:bidi="ar"/>
                    </w:rPr>
                  </w:pPr>
                  <w:r>
                    <w:rPr>
                      <w:lang w:bidi="ar"/>
                    </w:rPr>
                    <w:t>6.7</w:t>
                  </w:r>
                </w:p>
              </w:tc>
              <w:tc>
                <w:tcPr>
                  <w:tcW w:w="1293" w:type="pct"/>
                  <w:shd w:val="clear" w:color="auto" w:fill="auto"/>
                  <w:vAlign w:val="center"/>
                </w:tcPr>
                <w:p>
                  <w:pPr>
                    <w:pStyle w:val="215"/>
                    <w:rPr>
                      <w:lang w:bidi="ar"/>
                    </w:rPr>
                  </w:pPr>
                  <w:r>
                    <w:rPr>
                      <w:lang w:bidi="ar"/>
                    </w:rPr>
                    <w:t>皮带运输机</w:t>
                  </w:r>
                </w:p>
              </w:tc>
              <w:tc>
                <w:tcPr>
                  <w:tcW w:w="1137" w:type="pct"/>
                  <w:shd w:val="clear" w:color="auto" w:fill="auto"/>
                  <w:vAlign w:val="center"/>
                </w:tcPr>
                <w:p>
                  <w:pPr>
                    <w:pStyle w:val="215"/>
                    <w:rPr>
                      <w:lang w:bidi="ar"/>
                    </w:rPr>
                  </w:pPr>
                  <w:r>
                    <w:rPr>
                      <w:lang w:bidi="ar"/>
                    </w:rPr>
                    <w:t>40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r>
                    <w:rPr>
                      <w:lang w:bidi="ar"/>
                    </w:rPr>
                    <w:t>带宽 800mm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6.8</w:t>
                  </w:r>
                </w:p>
              </w:tc>
              <w:tc>
                <w:tcPr>
                  <w:tcW w:w="1293" w:type="pct"/>
                  <w:shd w:val="clear" w:color="auto" w:fill="auto"/>
                  <w:vAlign w:val="center"/>
                </w:tcPr>
                <w:p>
                  <w:pPr>
                    <w:pStyle w:val="215"/>
                    <w:rPr>
                      <w:lang w:bidi="ar"/>
                    </w:rPr>
                  </w:pPr>
                  <w:r>
                    <w:rPr>
                      <w:lang w:bidi="ar"/>
                    </w:rPr>
                    <w:t>粉碎机</w:t>
                  </w:r>
                </w:p>
              </w:tc>
              <w:tc>
                <w:tcPr>
                  <w:tcW w:w="1137" w:type="pct"/>
                  <w:shd w:val="clear" w:color="auto" w:fill="auto"/>
                  <w:vAlign w:val="center"/>
                </w:tcPr>
                <w:p>
                  <w:pPr>
                    <w:pStyle w:val="215"/>
                    <w:rPr>
                      <w:lang w:bidi="ar"/>
                    </w:rPr>
                  </w:pPr>
                  <w:r>
                    <w:rPr>
                      <w:lang w:bidi="ar"/>
                    </w:rPr>
                    <w:t>BXQ355/5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7</w:t>
                  </w:r>
                </w:p>
              </w:tc>
              <w:tc>
                <w:tcPr>
                  <w:tcW w:w="1293" w:type="pct"/>
                  <w:shd w:val="clear" w:color="auto" w:fill="auto"/>
                  <w:vAlign w:val="center"/>
                </w:tcPr>
                <w:p>
                  <w:pPr>
                    <w:pStyle w:val="215"/>
                    <w:rPr>
                      <w:lang w:bidi="ar"/>
                    </w:rPr>
                  </w:pPr>
                  <w:r>
                    <w:rPr>
                      <w:lang w:bidi="ar"/>
                    </w:rPr>
                    <w:t>斜滚筒运输机</w:t>
                  </w:r>
                </w:p>
              </w:tc>
              <w:tc>
                <w:tcPr>
                  <w:tcW w:w="1137" w:type="pct"/>
                  <w:shd w:val="clear" w:color="auto" w:fill="auto"/>
                  <w:vAlign w:val="center"/>
                </w:tcPr>
                <w:p>
                  <w:pPr>
                    <w:pStyle w:val="215"/>
                    <w:rPr>
                      <w:lang w:bidi="ar"/>
                    </w:rPr>
                  </w:pPr>
                  <w:r>
                    <w:rPr>
                      <w:lang w:bidi="ar"/>
                    </w:rPr>
                    <w:t>BZY3013/6.4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8</w:t>
                  </w:r>
                </w:p>
              </w:tc>
              <w:tc>
                <w:tcPr>
                  <w:tcW w:w="1293" w:type="pct"/>
                  <w:shd w:val="clear" w:color="auto" w:fill="auto"/>
                  <w:vAlign w:val="center"/>
                </w:tcPr>
                <w:p>
                  <w:pPr>
                    <w:pStyle w:val="215"/>
                    <w:rPr>
                      <w:lang w:bidi="ar"/>
                    </w:rPr>
                  </w:pPr>
                  <w:r>
                    <w:rPr>
                      <w:lang w:bidi="ar"/>
                    </w:rPr>
                    <w:t>堆垛机</w:t>
                  </w:r>
                </w:p>
              </w:tc>
              <w:tc>
                <w:tcPr>
                  <w:tcW w:w="1137" w:type="pct"/>
                  <w:shd w:val="clear" w:color="auto" w:fill="auto"/>
                  <w:vAlign w:val="center"/>
                </w:tcPr>
                <w:p>
                  <w:pPr>
                    <w:pStyle w:val="215"/>
                    <w:rPr>
                      <w:lang w:bidi="ar"/>
                    </w:rPr>
                  </w:pPr>
                  <w:r>
                    <w:rPr>
                      <w:lang w:bidi="ar"/>
                    </w:rPr>
                    <w:t>BDD114-02A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9</w:t>
                  </w:r>
                </w:p>
              </w:tc>
              <w:tc>
                <w:tcPr>
                  <w:tcW w:w="1293" w:type="pct"/>
                  <w:shd w:val="clear" w:color="auto" w:fill="auto"/>
                  <w:vAlign w:val="center"/>
                </w:tcPr>
                <w:p>
                  <w:pPr>
                    <w:pStyle w:val="215"/>
                    <w:rPr>
                      <w:lang w:bidi="ar"/>
                    </w:rPr>
                  </w:pPr>
                  <w:r>
                    <w:rPr>
                      <w:lang w:bidi="ar"/>
                    </w:rPr>
                    <w:t>横向辊式升降台</w:t>
                  </w:r>
                </w:p>
              </w:tc>
              <w:tc>
                <w:tcPr>
                  <w:tcW w:w="1137" w:type="pct"/>
                  <w:shd w:val="clear" w:color="auto" w:fill="auto"/>
                  <w:vAlign w:val="center"/>
                </w:tcPr>
                <w:p>
                  <w:pPr>
                    <w:pStyle w:val="215"/>
                    <w:rPr>
                      <w:lang w:bidi="ar"/>
                    </w:rPr>
                  </w:pPr>
                  <w:r>
                    <w:rPr>
                      <w:lang w:bidi="ar"/>
                    </w:rPr>
                    <w:t>BSJ154×8.3</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10</w:t>
                  </w:r>
                </w:p>
              </w:tc>
              <w:tc>
                <w:tcPr>
                  <w:tcW w:w="1293" w:type="pct"/>
                  <w:shd w:val="clear" w:color="auto" w:fill="auto"/>
                  <w:vAlign w:val="center"/>
                </w:tcPr>
                <w:p>
                  <w:pPr>
                    <w:pStyle w:val="215"/>
                    <w:rPr>
                      <w:lang w:bidi="ar"/>
                    </w:rPr>
                  </w:pPr>
                  <w:r>
                    <w:rPr>
                      <w:lang w:bidi="ar"/>
                    </w:rPr>
                    <w:t>横向地辊运输机</w:t>
                  </w:r>
                </w:p>
              </w:tc>
              <w:tc>
                <w:tcPr>
                  <w:tcW w:w="1137" w:type="pct"/>
                  <w:shd w:val="clear" w:color="auto" w:fill="auto"/>
                  <w:vAlign w:val="center"/>
                </w:tcPr>
                <w:p>
                  <w:pPr>
                    <w:pStyle w:val="215"/>
                    <w:rPr>
                      <w:lang w:bidi="ar"/>
                    </w:rPr>
                  </w:pPr>
                  <w:r>
                    <w:rPr>
                      <w:lang w:bidi="ar"/>
                    </w:rPr>
                    <w:t>BZY3325/4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b/>
                      <w:bCs w:val="0"/>
                      <w:lang w:bidi="ar"/>
                    </w:rPr>
                    <w:t>砂光工段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地辊运输机</w:t>
                  </w:r>
                </w:p>
              </w:tc>
              <w:tc>
                <w:tcPr>
                  <w:tcW w:w="1137" w:type="pct"/>
                  <w:shd w:val="clear" w:color="auto" w:fill="auto"/>
                  <w:vAlign w:val="center"/>
                </w:tcPr>
                <w:p>
                  <w:pPr>
                    <w:pStyle w:val="215"/>
                    <w:rPr>
                      <w:lang w:bidi="ar"/>
                    </w:rPr>
                  </w:pPr>
                  <w:r>
                    <w:rPr>
                      <w:lang w:bidi="ar"/>
                    </w:rPr>
                    <w:t>BZY3325/6</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rPr>
                      <w:lang w:bidi="ar"/>
                    </w:rPr>
                  </w:pPr>
                  <w:r>
                    <w:rPr>
                      <w:lang w:bidi="ar"/>
                    </w:rPr>
                    <w:t>横向液压升降台</w:t>
                  </w:r>
                </w:p>
              </w:tc>
              <w:tc>
                <w:tcPr>
                  <w:tcW w:w="1137" w:type="pct"/>
                  <w:shd w:val="clear" w:color="auto" w:fill="auto"/>
                  <w:vAlign w:val="center"/>
                </w:tcPr>
                <w:p>
                  <w:pPr>
                    <w:pStyle w:val="215"/>
                    <w:rPr>
                      <w:lang w:bidi="ar"/>
                    </w:rPr>
                  </w:pPr>
                  <w:r>
                    <w:rPr>
                      <w:lang w:bidi="ar"/>
                    </w:rPr>
                    <w:t>BSJ144×8/3</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rPr>
                      <w:lang w:bidi="ar"/>
                    </w:rPr>
                  </w:pPr>
                  <w:r>
                    <w:rPr>
                      <w:lang w:bidi="ar"/>
                    </w:rPr>
                    <w:t>推板机</w:t>
                  </w:r>
                </w:p>
              </w:tc>
              <w:tc>
                <w:tcPr>
                  <w:tcW w:w="1137" w:type="pct"/>
                  <w:shd w:val="clear" w:color="auto" w:fill="auto"/>
                  <w:vAlign w:val="center"/>
                </w:tcPr>
                <w:p>
                  <w:pPr>
                    <w:pStyle w:val="215"/>
                    <w:rPr>
                      <w:lang w:bidi="ar"/>
                    </w:rPr>
                  </w:pPr>
                  <w:r>
                    <w:rPr>
                      <w:lang w:bidi="ar"/>
                    </w:rPr>
                    <w:t>BZY8214B</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rPr>
                      <w:lang w:bidi="ar"/>
                    </w:rPr>
                  </w:pPr>
                  <w:r>
                    <w:rPr>
                      <w:lang w:bidi="ar"/>
                    </w:rPr>
                    <w:t>进板机</w:t>
                  </w:r>
                </w:p>
              </w:tc>
              <w:tc>
                <w:tcPr>
                  <w:tcW w:w="1137" w:type="pct"/>
                  <w:shd w:val="clear" w:color="auto" w:fill="auto"/>
                  <w:vAlign w:val="center"/>
                </w:tcPr>
                <w:p>
                  <w:pPr>
                    <w:pStyle w:val="215"/>
                    <w:rPr>
                      <w:lang w:bidi="ar"/>
                    </w:rPr>
                  </w:pPr>
                  <w:r>
                    <w:rPr>
                      <w:lang w:bidi="ar"/>
                    </w:rPr>
                    <w:t>BZY3012/5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rPr>
                      <w:lang w:bidi="ar"/>
                    </w:rPr>
                  </w:pPr>
                  <w:r>
                    <w:rPr>
                      <w:lang w:bidi="ar"/>
                    </w:rPr>
                    <w:t>砂光机</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rPr>
                      <w:lang w:bidi="ar"/>
                    </w:rPr>
                  </w:pPr>
                  <w:r>
                    <w:rPr>
                      <w:lang w:bidi="ar"/>
                    </w:rPr>
                    <w:t>辊筒运输机</w:t>
                  </w:r>
                </w:p>
              </w:tc>
              <w:tc>
                <w:tcPr>
                  <w:tcW w:w="1137" w:type="pct"/>
                  <w:shd w:val="clear" w:color="auto" w:fill="auto"/>
                  <w:vAlign w:val="center"/>
                </w:tcPr>
                <w:p>
                  <w:pPr>
                    <w:pStyle w:val="215"/>
                    <w:rPr>
                      <w:lang w:bidi="ar"/>
                    </w:rPr>
                  </w:pPr>
                  <w:r>
                    <w:rPr>
                      <w:lang w:bidi="ar"/>
                    </w:rPr>
                    <w:t>BZY3612/2.4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7</w:t>
                  </w:r>
                </w:p>
              </w:tc>
              <w:tc>
                <w:tcPr>
                  <w:tcW w:w="1293" w:type="pct"/>
                  <w:shd w:val="clear" w:color="auto" w:fill="auto"/>
                  <w:vAlign w:val="center"/>
                </w:tcPr>
                <w:p>
                  <w:pPr>
                    <w:pStyle w:val="215"/>
                    <w:rPr>
                      <w:lang w:bidi="ar"/>
                    </w:rPr>
                  </w:pPr>
                  <w:r>
                    <w:rPr>
                      <w:lang w:bidi="ar"/>
                    </w:rPr>
                    <w:t>出板机</w:t>
                  </w:r>
                </w:p>
              </w:tc>
              <w:tc>
                <w:tcPr>
                  <w:tcW w:w="1137" w:type="pct"/>
                  <w:shd w:val="clear" w:color="auto" w:fill="auto"/>
                  <w:vAlign w:val="center"/>
                </w:tcPr>
                <w:p>
                  <w:pPr>
                    <w:pStyle w:val="215"/>
                    <w:rPr>
                      <w:lang w:bidi="ar"/>
                    </w:rPr>
                  </w:pPr>
                  <w:r>
                    <w:rPr>
                      <w:lang w:bidi="ar"/>
                    </w:rPr>
                    <w:t>BZY3613/5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w:t>
                  </w:r>
                </w:p>
              </w:tc>
              <w:tc>
                <w:tcPr>
                  <w:tcW w:w="1293" w:type="pct"/>
                  <w:shd w:val="clear" w:color="auto" w:fill="auto"/>
                  <w:vAlign w:val="center"/>
                </w:tcPr>
                <w:p>
                  <w:pPr>
                    <w:pStyle w:val="215"/>
                    <w:rPr>
                      <w:lang w:bidi="ar"/>
                    </w:rPr>
                  </w:pPr>
                  <w:r>
                    <w:rPr>
                      <w:lang w:bidi="ar"/>
                    </w:rPr>
                    <w:t>堆垛机</w:t>
                  </w:r>
                </w:p>
              </w:tc>
              <w:tc>
                <w:tcPr>
                  <w:tcW w:w="1137" w:type="pct"/>
                  <w:shd w:val="clear" w:color="auto" w:fill="auto"/>
                  <w:vAlign w:val="center"/>
                </w:tcPr>
                <w:p>
                  <w:pPr>
                    <w:pStyle w:val="215"/>
                    <w:rPr>
                      <w:lang w:bidi="ar"/>
                    </w:rPr>
                  </w:pPr>
                  <w:r>
                    <w:rPr>
                      <w:lang w:bidi="ar"/>
                    </w:rPr>
                    <w:t>BDD114-02A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9</w:t>
                  </w:r>
                </w:p>
              </w:tc>
              <w:tc>
                <w:tcPr>
                  <w:tcW w:w="1293" w:type="pct"/>
                  <w:shd w:val="clear" w:color="auto" w:fill="auto"/>
                  <w:vAlign w:val="center"/>
                </w:tcPr>
                <w:p>
                  <w:pPr>
                    <w:pStyle w:val="215"/>
                    <w:rPr>
                      <w:lang w:bidi="ar"/>
                    </w:rPr>
                  </w:pPr>
                  <w:r>
                    <w:rPr>
                      <w:lang w:bidi="ar"/>
                    </w:rPr>
                    <w:t>横向液压升降台</w:t>
                  </w:r>
                </w:p>
              </w:tc>
              <w:tc>
                <w:tcPr>
                  <w:tcW w:w="1137" w:type="pct"/>
                  <w:shd w:val="clear" w:color="auto" w:fill="auto"/>
                  <w:vAlign w:val="center"/>
                </w:tcPr>
                <w:p>
                  <w:pPr>
                    <w:pStyle w:val="215"/>
                    <w:rPr>
                      <w:lang w:bidi="ar"/>
                    </w:rPr>
                  </w:pPr>
                  <w:r>
                    <w:rPr>
                      <w:lang w:bidi="ar"/>
                    </w:rPr>
                    <w:t>BSJ144×8/3</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10</w:t>
                  </w:r>
                </w:p>
              </w:tc>
              <w:tc>
                <w:tcPr>
                  <w:tcW w:w="1293" w:type="pct"/>
                  <w:shd w:val="clear" w:color="auto" w:fill="auto"/>
                  <w:vAlign w:val="center"/>
                </w:tcPr>
                <w:p>
                  <w:pPr>
                    <w:pStyle w:val="215"/>
                    <w:rPr>
                      <w:lang w:bidi="ar"/>
                    </w:rPr>
                  </w:pPr>
                  <w:r>
                    <w:rPr>
                      <w:lang w:bidi="ar"/>
                    </w:rPr>
                    <w:t>横向地辊运输机</w:t>
                  </w:r>
                </w:p>
              </w:tc>
              <w:tc>
                <w:tcPr>
                  <w:tcW w:w="1137" w:type="pct"/>
                  <w:shd w:val="clear" w:color="auto" w:fill="auto"/>
                  <w:vAlign w:val="center"/>
                </w:tcPr>
                <w:p>
                  <w:pPr>
                    <w:pStyle w:val="215"/>
                    <w:rPr>
                      <w:lang w:bidi="ar"/>
                    </w:rPr>
                  </w:pPr>
                  <w:r>
                    <w:rPr>
                      <w:lang w:bidi="ar"/>
                    </w:rPr>
                    <w:t>BZY3325/4</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w:t>
                  </w:r>
                </w:p>
              </w:tc>
              <w:tc>
                <w:tcPr>
                  <w:tcW w:w="1293" w:type="pct"/>
                  <w:shd w:val="clear" w:color="auto" w:fill="auto"/>
                  <w:vAlign w:val="center"/>
                </w:tcPr>
                <w:p>
                  <w:pPr>
                    <w:pStyle w:val="215"/>
                    <w:rPr>
                      <w:lang w:bidi="ar"/>
                    </w:rPr>
                  </w:pPr>
                  <w:r>
                    <w:rPr>
                      <w:lang w:bidi="ar"/>
                    </w:rPr>
                    <w:t>砂光除尘系统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11.1</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MQS5-54NO.8C</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r>
                    <w:rPr>
                      <w:lang w:bidi="ar"/>
                    </w:rPr>
                    <w:t>右 90°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11.2</w:t>
                  </w:r>
                </w:p>
              </w:tc>
              <w:tc>
                <w:tcPr>
                  <w:tcW w:w="1293" w:type="pct"/>
                  <w:shd w:val="clear" w:color="auto" w:fill="auto"/>
                  <w:vAlign w:val="center"/>
                </w:tcPr>
                <w:p>
                  <w:pPr>
                    <w:pStyle w:val="215"/>
                    <w:rPr>
                      <w:lang w:bidi="ar"/>
                    </w:rPr>
                  </w:pPr>
                  <w:r>
                    <w:rPr>
                      <w:lang w:bidi="ar"/>
                    </w:rPr>
                    <w:t>旋风分离器</w:t>
                  </w:r>
                </w:p>
              </w:tc>
              <w:tc>
                <w:tcPr>
                  <w:tcW w:w="1137" w:type="pct"/>
                  <w:shd w:val="clear" w:color="auto" w:fill="auto"/>
                  <w:vAlign w:val="center"/>
                </w:tcPr>
                <w:p>
                  <w:pPr>
                    <w:pStyle w:val="215"/>
                    <w:rPr>
                      <w:lang w:bidi="ar"/>
                    </w:rPr>
                  </w:pPr>
                  <w:r>
                    <w:rPr>
                      <w:lang w:bidi="ar"/>
                    </w:rPr>
                    <w:t>BFL-2800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11.3</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BXL61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11.4</w:t>
                  </w:r>
                </w:p>
              </w:tc>
              <w:tc>
                <w:tcPr>
                  <w:tcW w:w="1293" w:type="pct"/>
                  <w:shd w:val="clear" w:color="auto" w:fill="auto"/>
                  <w:vAlign w:val="center"/>
                </w:tcPr>
                <w:p>
                  <w:pPr>
                    <w:pStyle w:val="215"/>
                    <w:rPr>
                      <w:lang w:bidi="ar"/>
                    </w:rPr>
                  </w:pPr>
                  <w:r>
                    <w:rPr>
                      <w:lang w:bidi="ar"/>
                    </w:rPr>
                    <w:t>支架和管道</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11.5</w:t>
                  </w:r>
                </w:p>
              </w:tc>
              <w:tc>
                <w:tcPr>
                  <w:tcW w:w="1293" w:type="pct"/>
                  <w:shd w:val="clear" w:color="auto" w:fill="auto"/>
                  <w:vAlign w:val="center"/>
                </w:tcPr>
                <w:p>
                  <w:pPr>
                    <w:pStyle w:val="215"/>
                    <w:rPr>
                      <w:lang w:bidi="ar"/>
                    </w:rPr>
                  </w:pPr>
                  <w:r>
                    <w:rPr>
                      <w:lang w:bidi="ar"/>
                    </w:rPr>
                    <w:t>布袋除尘器内部部件</w:t>
                  </w:r>
                </w:p>
              </w:tc>
              <w:tc>
                <w:tcPr>
                  <w:tcW w:w="1137" w:type="pct"/>
                  <w:shd w:val="clear" w:color="auto" w:fill="auto"/>
                  <w:vAlign w:val="center"/>
                </w:tcPr>
                <w:p>
                  <w:pPr>
                    <w:pStyle w:val="215"/>
                    <w:rPr>
                      <w:lang w:bidi="ar"/>
                    </w:rPr>
                  </w:pPr>
                  <w:r>
                    <w:rPr>
                      <w:lang w:bidi="ar"/>
                    </w:rPr>
                    <w:t>62SLC300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11.6</w:t>
                  </w:r>
                </w:p>
              </w:tc>
              <w:tc>
                <w:tcPr>
                  <w:tcW w:w="1293" w:type="pct"/>
                  <w:shd w:val="clear" w:color="auto" w:fill="auto"/>
                  <w:vAlign w:val="center"/>
                </w:tcPr>
                <w:p>
                  <w:pPr>
                    <w:pStyle w:val="215"/>
                    <w:rPr>
                      <w:lang w:bidi="ar"/>
                    </w:rPr>
                  </w:pPr>
                  <w:r>
                    <w:rPr>
                      <w:lang w:bidi="ar"/>
                    </w:rPr>
                    <w:t>星型下料器</w:t>
                  </w:r>
                </w:p>
              </w:tc>
              <w:tc>
                <w:tcPr>
                  <w:tcW w:w="1137" w:type="pct"/>
                  <w:shd w:val="clear" w:color="auto" w:fill="auto"/>
                  <w:vAlign w:val="center"/>
                </w:tcPr>
                <w:p>
                  <w:pPr>
                    <w:pStyle w:val="215"/>
                    <w:rPr>
                      <w:lang w:bidi="ar"/>
                    </w:rPr>
                  </w:pPr>
                  <w:r>
                    <w:rPr>
                      <w:lang w:bidi="ar"/>
                    </w:rPr>
                    <w:t>BXL51</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4</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w:t>
                  </w:r>
                </w:p>
              </w:tc>
              <w:tc>
                <w:tcPr>
                  <w:tcW w:w="1293" w:type="pct"/>
                  <w:shd w:val="clear" w:color="auto" w:fill="auto"/>
                  <w:vAlign w:val="center"/>
                </w:tcPr>
                <w:p>
                  <w:pPr>
                    <w:pStyle w:val="215"/>
                    <w:rPr>
                      <w:lang w:bidi="ar"/>
                    </w:rPr>
                  </w:pPr>
                  <w:r>
                    <w:rPr>
                      <w:lang w:bidi="ar"/>
                    </w:rPr>
                    <w:t>砂光粉料仓</w:t>
                  </w:r>
                </w:p>
              </w:tc>
              <w:tc>
                <w:tcPr>
                  <w:tcW w:w="1137" w:type="pct"/>
                  <w:shd w:val="clear" w:color="auto" w:fill="auto"/>
                  <w:vAlign w:val="center"/>
                </w:tcPr>
                <w:p>
                  <w:pPr>
                    <w:pStyle w:val="215"/>
                    <w:rPr>
                      <w:lang w:bidi="ar"/>
                    </w:rPr>
                  </w:pPr>
                  <w:r>
                    <w:rPr>
                      <w:lang w:bidi="ar"/>
                    </w:rPr>
                    <w:t>BLC100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r>
                    <w:rPr>
                      <w:lang w:bidi="ar"/>
                    </w:rPr>
                    <w:t>双螺旋出料 3 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b/>
                      <w:bCs w:val="0"/>
                      <w:lang w:bidi="ar"/>
                    </w:rPr>
                    <w:t>配电控制柜（箱）</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备料工段机械电控系统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rPr>
                      <w:lang w:bidi="ar"/>
                    </w:rPr>
                  </w:pPr>
                  <w:r>
                    <w:rPr>
                      <w:lang w:bidi="ar"/>
                    </w:rPr>
                    <w:t>铺装机电控系统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rPr>
                      <w:lang w:bidi="ar"/>
                    </w:rPr>
                  </w:pPr>
                  <w:r>
                    <w:rPr>
                      <w:lang w:bidi="ar"/>
                    </w:rPr>
                    <w:t>预压、运输机械电控系统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rPr>
                      <w:lang w:bidi="ar"/>
                    </w:rPr>
                  </w:pPr>
                  <w:r>
                    <w:rPr>
                      <w:lang w:bidi="ar"/>
                    </w:rPr>
                    <w:t>热压装卸工段电控系统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rPr>
                      <w:lang w:bidi="ar"/>
                    </w:rPr>
                  </w:pPr>
                  <w:r>
                    <w:rPr>
                      <w:lang w:bidi="ar"/>
                    </w:rPr>
                    <w:t>冷却锯边工段电控系统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rPr>
                      <w:lang w:bidi="ar"/>
                    </w:rPr>
                  </w:pPr>
                  <w:r>
                    <w:rPr>
                      <w:lang w:bidi="ar"/>
                    </w:rPr>
                    <w:t>砂光辅机电控系统</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b/>
                      <w:bCs w:val="0"/>
                      <w:lang w:bidi="ar"/>
                    </w:rPr>
                  </w:pPr>
                  <w:r>
                    <w:rPr>
                      <w:rFonts w:hint="eastAsia"/>
                      <w:b/>
                      <w:bCs w:val="0"/>
                      <w:lang w:bidi="ar"/>
                    </w:rPr>
                    <w:t>制胶车间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33" w:hRule="atLeast"/>
              </w:trPr>
              <w:tc>
                <w:tcPr>
                  <w:tcW w:w="484" w:type="pct"/>
                  <w:shd w:val="clear" w:color="auto" w:fill="auto"/>
                  <w:vAlign w:val="center"/>
                </w:tcPr>
                <w:p>
                  <w:pPr>
                    <w:pStyle w:val="215"/>
                    <w:rPr>
                      <w:lang w:bidi="ar"/>
                    </w:rPr>
                  </w:pPr>
                  <w:r>
                    <w:rPr>
                      <w:rFonts w:hint="eastAsia"/>
                      <w:lang w:bidi="ar"/>
                    </w:rPr>
                    <w:t>1</w:t>
                  </w:r>
                </w:p>
              </w:tc>
              <w:tc>
                <w:tcPr>
                  <w:tcW w:w="1293" w:type="pct"/>
                  <w:shd w:val="clear" w:color="auto" w:fill="auto"/>
                  <w:vAlign w:val="center"/>
                </w:tcPr>
                <w:p>
                  <w:pPr>
                    <w:pStyle w:val="215"/>
                    <w:rPr>
                      <w:lang w:bidi="ar"/>
                    </w:rPr>
                  </w:pPr>
                  <w:r>
                    <w:rPr>
                      <w:lang w:bidi="ar"/>
                    </w:rPr>
                    <w:t>反应釜</w:t>
                  </w:r>
                </w:p>
              </w:tc>
              <w:tc>
                <w:tcPr>
                  <w:tcW w:w="1137" w:type="pct"/>
                  <w:shd w:val="clear" w:color="auto" w:fill="auto"/>
                  <w:vAlign w:val="center"/>
                </w:tcPr>
                <w:p>
                  <w:pPr>
                    <w:pStyle w:val="215"/>
                    <w:rPr>
                      <w:lang w:bidi="ar"/>
                    </w:rPr>
                  </w:pPr>
                  <w:r>
                    <w:rPr>
                      <w:lang w:bidi="ar"/>
                    </w:rPr>
                    <w:t>35 m</w:t>
                  </w:r>
                  <w:r>
                    <w:rPr>
                      <w:vertAlign w:val="superscript"/>
                      <w:lang w:bidi="ar"/>
                    </w:rPr>
                    <w:t>3</w:t>
                  </w: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2</w:t>
                  </w:r>
                </w:p>
              </w:tc>
              <w:tc>
                <w:tcPr>
                  <w:tcW w:w="1293" w:type="pct"/>
                  <w:shd w:val="clear" w:color="auto" w:fill="auto"/>
                  <w:vAlign w:val="center"/>
                </w:tcPr>
                <w:p>
                  <w:pPr>
                    <w:pStyle w:val="215"/>
                    <w:rPr>
                      <w:lang w:bidi="ar"/>
                    </w:rPr>
                  </w:pPr>
                  <w:r>
                    <w:rPr>
                      <w:lang w:bidi="ar"/>
                    </w:rPr>
                    <w:t>减速机</w:t>
                  </w:r>
                </w:p>
              </w:tc>
              <w:tc>
                <w:tcPr>
                  <w:tcW w:w="1137" w:type="pct"/>
                  <w:shd w:val="clear" w:color="auto" w:fill="auto"/>
                  <w:vAlign w:val="center"/>
                </w:tcPr>
                <w:p>
                  <w:pPr>
                    <w:pStyle w:val="215"/>
                    <w:rPr>
                      <w:lang w:bidi="ar"/>
                    </w:rPr>
                  </w:pPr>
                  <w:r>
                    <w:rPr>
                      <w:lang w:bidi="ar"/>
                    </w:rPr>
                    <w:t>SEW</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3</w:t>
                  </w:r>
                </w:p>
              </w:tc>
              <w:tc>
                <w:tcPr>
                  <w:tcW w:w="1293" w:type="pct"/>
                  <w:shd w:val="clear" w:color="auto" w:fill="auto"/>
                  <w:vAlign w:val="center"/>
                </w:tcPr>
                <w:p>
                  <w:pPr>
                    <w:pStyle w:val="215"/>
                    <w:rPr>
                      <w:lang w:bidi="ar"/>
                    </w:rPr>
                  </w:pPr>
                  <w:r>
                    <w:rPr>
                      <w:lang w:bidi="ar"/>
                    </w:rPr>
                    <w:t>冷凝器</w:t>
                  </w:r>
                </w:p>
              </w:tc>
              <w:tc>
                <w:tcPr>
                  <w:tcW w:w="1137" w:type="pct"/>
                  <w:shd w:val="clear" w:color="auto" w:fill="auto"/>
                  <w:vAlign w:val="center"/>
                </w:tcPr>
                <w:p>
                  <w:pPr>
                    <w:pStyle w:val="215"/>
                    <w:rPr>
                      <w:lang w:bidi="ar"/>
                    </w:rPr>
                  </w:pPr>
                  <w:r>
                    <w:rPr>
                      <w:lang w:bidi="ar"/>
                    </w:rPr>
                    <w:t>40m</w:t>
                  </w:r>
                  <w:r>
                    <w:rPr>
                      <w:vertAlign w:val="superscript"/>
                      <w:lang w:bidi="ar"/>
                    </w:rPr>
                    <w:t>3</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4</w:t>
                  </w:r>
                </w:p>
              </w:tc>
              <w:tc>
                <w:tcPr>
                  <w:tcW w:w="1293" w:type="pct"/>
                  <w:shd w:val="clear" w:color="auto" w:fill="auto"/>
                  <w:vAlign w:val="center"/>
                </w:tcPr>
                <w:p>
                  <w:pPr>
                    <w:pStyle w:val="215"/>
                    <w:rPr>
                      <w:lang w:bidi="ar"/>
                    </w:rPr>
                  </w:pPr>
                  <w:r>
                    <w:rPr>
                      <w:lang w:bidi="ar"/>
                    </w:rPr>
                    <w:t>甲醛过滤器</w:t>
                  </w:r>
                </w:p>
              </w:tc>
              <w:tc>
                <w:tcPr>
                  <w:tcW w:w="1137" w:type="pct"/>
                  <w:shd w:val="clear" w:color="auto" w:fill="auto"/>
                  <w:vAlign w:val="center"/>
                </w:tcPr>
                <w:p>
                  <w:pPr>
                    <w:pStyle w:val="215"/>
                    <w:rPr>
                      <w:lang w:bidi="ar"/>
                    </w:rPr>
                  </w:pPr>
                  <w:r>
                    <w:rPr>
                      <w:lang w:bidi="ar"/>
                    </w:rPr>
                    <w:t>0.3 m</w:t>
                  </w:r>
                  <w:r>
                    <w:rPr>
                      <w:vertAlign w:val="superscript"/>
                      <w:lang w:bidi="ar"/>
                    </w:rPr>
                    <w:t>3</w:t>
                  </w: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rFonts w:hint="eastAsia"/>
                      <w:lang w:bidi="ar"/>
                    </w:rPr>
                    <w:t>5</w:t>
                  </w:r>
                </w:p>
              </w:tc>
              <w:tc>
                <w:tcPr>
                  <w:tcW w:w="1293" w:type="pct"/>
                  <w:shd w:val="clear" w:color="auto" w:fill="auto"/>
                  <w:vAlign w:val="center"/>
                </w:tcPr>
                <w:p>
                  <w:pPr>
                    <w:pStyle w:val="215"/>
                    <w:rPr>
                      <w:lang w:bidi="ar"/>
                    </w:rPr>
                  </w:pPr>
                  <w:r>
                    <w:rPr>
                      <w:lang w:bidi="ar"/>
                    </w:rPr>
                    <w:t>胶过滤器</w:t>
                  </w:r>
                </w:p>
              </w:tc>
              <w:tc>
                <w:tcPr>
                  <w:tcW w:w="1137" w:type="pct"/>
                  <w:shd w:val="clear" w:color="auto" w:fill="auto"/>
                  <w:vAlign w:val="center"/>
                </w:tcPr>
                <w:p>
                  <w:pPr>
                    <w:pStyle w:val="215"/>
                    <w:rPr>
                      <w:lang w:bidi="ar"/>
                    </w:rPr>
                  </w:pPr>
                  <w:r>
                    <w:rPr>
                      <w:lang w:bidi="ar"/>
                    </w:rPr>
                    <w:t>0.5 m</w:t>
                  </w:r>
                  <w:r>
                    <w:rPr>
                      <w:vertAlign w:val="superscript"/>
                      <w:lang w:bidi="ar"/>
                    </w:rPr>
                    <w:t>3</w:t>
                  </w: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6</w:t>
                  </w:r>
                </w:p>
              </w:tc>
              <w:tc>
                <w:tcPr>
                  <w:tcW w:w="1293" w:type="pct"/>
                  <w:shd w:val="clear" w:color="auto" w:fill="auto"/>
                  <w:vAlign w:val="center"/>
                </w:tcPr>
                <w:p>
                  <w:pPr>
                    <w:pStyle w:val="215"/>
                    <w:rPr>
                      <w:lang w:bidi="ar"/>
                    </w:rPr>
                  </w:pPr>
                  <w:r>
                    <w:rPr>
                      <w:lang w:bidi="ar"/>
                    </w:rPr>
                    <w:t>下端加料斗</w:t>
                  </w:r>
                </w:p>
              </w:tc>
              <w:tc>
                <w:tcPr>
                  <w:tcW w:w="1137" w:type="pct"/>
                  <w:shd w:val="clear" w:color="auto" w:fill="auto"/>
                  <w:vAlign w:val="center"/>
                </w:tcPr>
                <w:p>
                  <w:pPr>
                    <w:pStyle w:val="215"/>
                    <w:rPr>
                      <w:lang w:bidi="ar"/>
                    </w:rPr>
                  </w:pPr>
                  <w:r>
                    <w:rPr>
                      <w:lang w:bidi="ar"/>
                    </w:rPr>
                    <w:t>1 m</w:t>
                  </w:r>
                  <w:r>
                    <w:rPr>
                      <w:vertAlign w:val="superscript"/>
                      <w:lang w:bidi="ar"/>
                    </w:rPr>
                    <w:t>3</w:t>
                  </w: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7</w:t>
                  </w:r>
                </w:p>
              </w:tc>
              <w:tc>
                <w:tcPr>
                  <w:tcW w:w="1293" w:type="pct"/>
                  <w:shd w:val="clear" w:color="auto" w:fill="auto"/>
                  <w:vAlign w:val="center"/>
                </w:tcPr>
                <w:p>
                  <w:pPr>
                    <w:pStyle w:val="215"/>
                    <w:rPr>
                      <w:lang w:bidi="ar"/>
                    </w:rPr>
                  </w:pPr>
                  <w:r>
                    <w:rPr>
                      <w:lang w:bidi="ar"/>
                    </w:rPr>
                    <w:t>电控系统</w:t>
                  </w:r>
                </w:p>
              </w:tc>
              <w:tc>
                <w:tcPr>
                  <w:tcW w:w="1137" w:type="pct"/>
                  <w:shd w:val="clear" w:color="auto" w:fill="auto"/>
                  <w:vAlign w:val="center"/>
                </w:tcPr>
                <w:p>
                  <w:pPr>
                    <w:pStyle w:val="215"/>
                    <w:rPr>
                      <w:lang w:bidi="ar"/>
                    </w:rPr>
                  </w:pPr>
                  <w:r>
                    <w:rPr>
                      <w:lang w:bidi="ar"/>
                    </w:rPr>
                    <w:t>HDK2220</w:t>
                  </w: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8</w:t>
                  </w:r>
                </w:p>
              </w:tc>
              <w:tc>
                <w:tcPr>
                  <w:tcW w:w="1293" w:type="pct"/>
                  <w:shd w:val="clear" w:color="auto" w:fill="auto"/>
                  <w:vAlign w:val="center"/>
                </w:tcPr>
                <w:p>
                  <w:pPr>
                    <w:pStyle w:val="215"/>
                    <w:rPr>
                      <w:lang w:bidi="ar"/>
                    </w:rPr>
                  </w:pPr>
                  <w:r>
                    <w:rPr>
                      <w:lang w:bidi="ar"/>
                    </w:rPr>
                    <w:t>甲醛泵</w:t>
                  </w:r>
                </w:p>
              </w:tc>
              <w:tc>
                <w:tcPr>
                  <w:tcW w:w="1137" w:type="pct"/>
                  <w:shd w:val="clear" w:color="auto" w:fill="auto"/>
                  <w:vAlign w:val="center"/>
                </w:tcPr>
                <w:p>
                  <w:pPr>
                    <w:pStyle w:val="215"/>
                    <w:rPr>
                      <w:lang w:bidi="ar"/>
                    </w:rPr>
                  </w:pPr>
                  <w:r>
                    <w:rPr>
                      <w:lang w:bidi="ar"/>
                    </w:rPr>
                    <w:t>KQWH80-160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rFonts w:hint="eastAsia"/>
                      <w:lang w:bidi="ar"/>
                    </w:rPr>
                    <w:t>9</w:t>
                  </w:r>
                </w:p>
              </w:tc>
              <w:tc>
                <w:tcPr>
                  <w:tcW w:w="1293" w:type="pct"/>
                  <w:shd w:val="clear" w:color="auto" w:fill="auto"/>
                  <w:vAlign w:val="center"/>
                </w:tcPr>
                <w:p>
                  <w:pPr>
                    <w:pStyle w:val="215"/>
                    <w:rPr>
                      <w:lang w:bidi="ar"/>
                    </w:rPr>
                  </w:pPr>
                  <w:r>
                    <w:rPr>
                      <w:lang w:bidi="ar"/>
                    </w:rPr>
                    <w:t>胶泵</w:t>
                  </w:r>
                </w:p>
              </w:tc>
              <w:tc>
                <w:tcPr>
                  <w:tcW w:w="1137" w:type="pct"/>
                  <w:shd w:val="clear" w:color="auto" w:fill="auto"/>
                  <w:vAlign w:val="center"/>
                </w:tcPr>
                <w:p>
                  <w:pPr>
                    <w:pStyle w:val="215"/>
                    <w:rPr>
                      <w:lang w:bidi="ar"/>
                    </w:rPr>
                  </w:pPr>
                  <w:r>
                    <w:rPr>
                      <w:lang w:bidi="ar"/>
                    </w:rPr>
                    <w:t>KQWH80-160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10</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4-72/3.6A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11</w:t>
                  </w:r>
                </w:p>
              </w:tc>
              <w:tc>
                <w:tcPr>
                  <w:tcW w:w="1293" w:type="pct"/>
                  <w:shd w:val="clear" w:color="auto" w:fill="auto"/>
                  <w:vAlign w:val="center"/>
                </w:tcPr>
                <w:p>
                  <w:pPr>
                    <w:pStyle w:val="215"/>
                    <w:rPr>
                      <w:lang w:bidi="ar"/>
                    </w:rPr>
                  </w:pPr>
                  <w:r>
                    <w:rPr>
                      <w:lang w:bidi="ar"/>
                    </w:rPr>
                    <w:t>电动葫芦</w:t>
                  </w:r>
                </w:p>
              </w:tc>
              <w:tc>
                <w:tcPr>
                  <w:tcW w:w="1137" w:type="pct"/>
                  <w:shd w:val="clear" w:color="auto" w:fill="auto"/>
                  <w:vAlign w:val="center"/>
                </w:tcPr>
                <w:p>
                  <w:pPr>
                    <w:pStyle w:val="215"/>
                    <w:rPr>
                      <w:lang w:bidi="ar"/>
                    </w:rPr>
                  </w:pPr>
                  <w:r>
                    <w:rPr>
                      <w:lang w:bidi="ar"/>
                    </w:rPr>
                    <w:t>0.8t</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12</w:t>
                  </w:r>
                </w:p>
              </w:tc>
              <w:tc>
                <w:tcPr>
                  <w:tcW w:w="1293" w:type="pct"/>
                  <w:shd w:val="clear" w:color="auto" w:fill="auto"/>
                  <w:vAlign w:val="center"/>
                </w:tcPr>
                <w:p>
                  <w:pPr>
                    <w:pStyle w:val="215"/>
                    <w:rPr>
                      <w:lang w:bidi="ar"/>
                    </w:rPr>
                  </w:pPr>
                  <w:r>
                    <w:rPr>
                      <w:lang w:bidi="ar"/>
                    </w:rPr>
                    <w:t>甲醛计量电子秤</w:t>
                  </w:r>
                </w:p>
              </w:tc>
              <w:tc>
                <w:tcPr>
                  <w:tcW w:w="1137" w:type="pct"/>
                  <w:shd w:val="clear" w:color="auto" w:fill="auto"/>
                  <w:vAlign w:val="center"/>
                </w:tcPr>
                <w:p>
                  <w:pPr>
                    <w:pStyle w:val="215"/>
                    <w:rPr>
                      <w:lang w:bidi="ar"/>
                    </w:rPr>
                  </w:pPr>
                  <w:r>
                    <w:rPr>
                      <w:lang w:bidi="ar"/>
                    </w:rPr>
                    <w:t>90t</w:t>
                  </w:r>
                  <w:r>
                    <w:rPr>
                      <w:rFonts w:hint="eastAsia"/>
                      <w:lang w:bidi="ar"/>
                    </w:rPr>
                    <w:t>，</w:t>
                  </w:r>
                  <w:r>
                    <w:rPr>
                      <w:lang w:bidi="ar"/>
                    </w:rPr>
                    <w:t>xk3123</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rFonts w:hint="eastAsia"/>
                      <w:lang w:bidi="ar"/>
                    </w:rPr>
                    <w:t>13</w:t>
                  </w:r>
                </w:p>
              </w:tc>
              <w:tc>
                <w:tcPr>
                  <w:tcW w:w="1293" w:type="pct"/>
                  <w:shd w:val="clear" w:color="auto" w:fill="auto"/>
                  <w:vAlign w:val="center"/>
                </w:tcPr>
                <w:p>
                  <w:pPr>
                    <w:pStyle w:val="215"/>
                    <w:rPr>
                      <w:lang w:bidi="ar"/>
                    </w:rPr>
                  </w:pPr>
                  <w:r>
                    <w:rPr>
                      <w:lang w:bidi="ar"/>
                    </w:rPr>
                    <w:t>酸溶解槽</w:t>
                  </w:r>
                </w:p>
              </w:tc>
              <w:tc>
                <w:tcPr>
                  <w:tcW w:w="1137" w:type="pct"/>
                  <w:shd w:val="clear" w:color="auto" w:fill="auto"/>
                  <w:vAlign w:val="center"/>
                </w:tcPr>
                <w:p>
                  <w:pPr>
                    <w:pStyle w:val="215"/>
                    <w:rPr>
                      <w:lang w:bidi="ar"/>
                    </w:rPr>
                  </w:pPr>
                  <w:r>
                    <w:rPr>
                      <w:lang w:bidi="ar"/>
                    </w:rPr>
                    <w:t>1 m</w:t>
                  </w:r>
                  <w:r>
                    <w:rPr>
                      <w:vertAlign w:val="superscript"/>
                      <w:lang w:bidi="ar"/>
                    </w:rPr>
                    <w:t>3</w:t>
                  </w:r>
                </w:p>
              </w:tc>
              <w:tc>
                <w:tcPr>
                  <w:tcW w:w="416" w:type="pct"/>
                  <w:shd w:val="clear" w:color="auto" w:fill="auto"/>
                  <w:vAlign w:val="center"/>
                </w:tcPr>
                <w:p>
                  <w:pPr>
                    <w:pStyle w:val="215"/>
                    <w:rPr>
                      <w:lang w:bidi="ar"/>
                    </w:rPr>
                  </w:pPr>
                  <w:r>
                    <w:rPr>
                      <w:lang w:bidi="ar"/>
                    </w:rPr>
                    <w:t>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14</w:t>
                  </w:r>
                </w:p>
              </w:tc>
              <w:tc>
                <w:tcPr>
                  <w:tcW w:w="1293" w:type="pct"/>
                  <w:shd w:val="clear" w:color="auto" w:fill="auto"/>
                  <w:vAlign w:val="center"/>
                </w:tcPr>
                <w:p>
                  <w:pPr>
                    <w:pStyle w:val="215"/>
                    <w:rPr>
                      <w:lang w:bidi="ar"/>
                    </w:rPr>
                  </w:pPr>
                  <w:r>
                    <w:rPr>
                      <w:lang w:bidi="ar"/>
                    </w:rPr>
                    <w:t>碱溶解槽</w:t>
                  </w:r>
                </w:p>
              </w:tc>
              <w:tc>
                <w:tcPr>
                  <w:tcW w:w="1137" w:type="pct"/>
                  <w:shd w:val="clear" w:color="auto" w:fill="auto"/>
                  <w:vAlign w:val="center"/>
                </w:tcPr>
                <w:p>
                  <w:pPr>
                    <w:pStyle w:val="215"/>
                    <w:rPr>
                      <w:lang w:bidi="ar"/>
                    </w:rPr>
                  </w:pPr>
                  <w:r>
                    <w:rPr>
                      <w:lang w:bidi="ar"/>
                    </w:rPr>
                    <w:t>1 m</w:t>
                  </w:r>
                  <w:r>
                    <w:rPr>
                      <w:vertAlign w:val="superscript"/>
                      <w:lang w:bidi="ar"/>
                    </w:rPr>
                    <w:t>3</w:t>
                  </w:r>
                </w:p>
              </w:tc>
              <w:tc>
                <w:tcPr>
                  <w:tcW w:w="416" w:type="pct"/>
                  <w:shd w:val="clear" w:color="auto" w:fill="auto"/>
                  <w:vAlign w:val="center"/>
                </w:tcPr>
                <w:p>
                  <w:pPr>
                    <w:pStyle w:val="215"/>
                    <w:rPr>
                      <w:lang w:bidi="ar"/>
                    </w:rPr>
                  </w:pPr>
                  <w:r>
                    <w:rPr>
                      <w:lang w:bidi="ar"/>
                    </w:rPr>
                    <w:t>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15</w:t>
                  </w:r>
                </w:p>
              </w:tc>
              <w:tc>
                <w:tcPr>
                  <w:tcW w:w="1293" w:type="pct"/>
                  <w:shd w:val="clear" w:color="auto" w:fill="auto"/>
                  <w:vAlign w:val="center"/>
                </w:tcPr>
                <w:p>
                  <w:pPr>
                    <w:pStyle w:val="215"/>
                    <w:rPr>
                      <w:lang w:bidi="ar"/>
                    </w:rPr>
                  </w:pPr>
                  <w:r>
                    <w:rPr>
                      <w:lang w:bidi="ar"/>
                    </w:rPr>
                    <w:t>酸碱计量槽</w:t>
                  </w:r>
                </w:p>
              </w:tc>
              <w:tc>
                <w:tcPr>
                  <w:tcW w:w="1137" w:type="pct"/>
                  <w:shd w:val="clear" w:color="auto" w:fill="auto"/>
                  <w:vAlign w:val="center"/>
                </w:tcPr>
                <w:p>
                  <w:pPr>
                    <w:pStyle w:val="215"/>
                    <w:rPr>
                      <w:lang w:bidi="ar"/>
                    </w:rPr>
                  </w:pPr>
                  <w:r>
                    <w:rPr>
                      <w:lang w:bidi="ar"/>
                    </w:rPr>
                    <w:t>100L</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16</w:t>
                  </w:r>
                </w:p>
              </w:tc>
              <w:tc>
                <w:tcPr>
                  <w:tcW w:w="1293" w:type="pct"/>
                  <w:shd w:val="clear" w:color="auto" w:fill="auto"/>
                  <w:vAlign w:val="center"/>
                </w:tcPr>
                <w:p>
                  <w:pPr>
                    <w:pStyle w:val="215"/>
                    <w:rPr>
                      <w:lang w:bidi="ar"/>
                    </w:rPr>
                  </w:pPr>
                  <w:r>
                    <w:rPr>
                      <w:lang w:bidi="ar"/>
                    </w:rPr>
                    <w:t>螺旋机</w:t>
                  </w:r>
                </w:p>
              </w:tc>
              <w:tc>
                <w:tcPr>
                  <w:tcW w:w="1137" w:type="pct"/>
                  <w:shd w:val="clear" w:color="auto" w:fill="auto"/>
                  <w:vAlign w:val="center"/>
                </w:tcPr>
                <w:p>
                  <w:pPr>
                    <w:pStyle w:val="215"/>
                    <w:rPr>
                      <w:lang w:bidi="ar"/>
                    </w:rPr>
                  </w:pPr>
                  <w:r>
                    <w:rPr>
                      <w:lang w:bidi="ar"/>
                    </w:rPr>
                    <w:t>0.25m</w:t>
                  </w:r>
                  <w:r>
                    <w:rPr>
                      <w:vertAlign w:val="superscript"/>
                      <w:lang w:bidi="ar"/>
                    </w:rPr>
                    <w:t>3</w:t>
                  </w:r>
                  <w:r>
                    <w:rPr>
                      <w:lang w:bidi="ar"/>
                    </w:rPr>
                    <w:t>/h</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rFonts w:hint="eastAsia"/>
                      <w:lang w:bidi="ar"/>
                    </w:rPr>
                    <w:t>17</w:t>
                  </w:r>
                </w:p>
              </w:tc>
              <w:tc>
                <w:tcPr>
                  <w:tcW w:w="1293" w:type="pct"/>
                  <w:shd w:val="clear" w:color="auto" w:fill="auto"/>
                  <w:vAlign w:val="center"/>
                </w:tcPr>
                <w:p>
                  <w:pPr>
                    <w:pStyle w:val="215"/>
                    <w:rPr>
                      <w:lang w:bidi="ar"/>
                    </w:rPr>
                  </w:pPr>
                  <w:r>
                    <w:rPr>
                      <w:lang w:bidi="ar"/>
                    </w:rPr>
                    <w:t>下端料斗</w:t>
                  </w:r>
                </w:p>
              </w:tc>
              <w:tc>
                <w:tcPr>
                  <w:tcW w:w="1137" w:type="pct"/>
                  <w:shd w:val="clear" w:color="auto" w:fill="auto"/>
                  <w:vAlign w:val="center"/>
                </w:tcPr>
                <w:p>
                  <w:pPr>
                    <w:pStyle w:val="215"/>
                    <w:rPr>
                      <w:lang w:bidi="ar"/>
                    </w:rPr>
                  </w:pPr>
                  <w:r>
                    <w:rPr>
                      <w:lang w:bidi="ar"/>
                    </w:rPr>
                    <w:t>1 m</w:t>
                  </w:r>
                  <w:r>
                    <w:rPr>
                      <w:vertAlign w:val="superscript"/>
                      <w:lang w:bidi="ar"/>
                    </w:rPr>
                    <w:t>3</w:t>
                  </w: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18</w:t>
                  </w:r>
                </w:p>
              </w:tc>
              <w:tc>
                <w:tcPr>
                  <w:tcW w:w="1293" w:type="pct"/>
                  <w:shd w:val="clear" w:color="auto" w:fill="auto"/>
                  <w:vAlign w:val="center"/>
                </w:tcPr>
                <w:p>
                  <w:pPr>
                    <w:pStyle w:val="215"/>
                    <w:rPr>
                      <w:lang w:bidi="ar"/>
                    </w:rPr>
                  </w:pPr>
                  <w:r>
                    <w:rPr>
                      <w:lang w:bidi="ar"/>
                    </w:rPr>
                    <w:t>尿素旋转溜槽</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只</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shd w:val="clear" w:color="auto" w:fill="auto"/>
                  <w:vAlign w:val="center"/>
                </w:tcPr>
                <w:p>
                  <w:pPr>
                    <w:pStyle w:val="215"/>
                    <w:rPr>
                      <w:lang w:bidi="ar"/>
                    </w:rPr>
                  </w:pPr>
                  <w:r>
                    <w:rPr>
                      <w:rFonts w:hint="eastAsia"/>
                      <w:b/>
                    </w:rPr>
                    <w:t>甲醛储罐区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w:t>
                  </w:r>
                </w:p>
              </w:tc>
              <w:tc>
                <w:tcPr>
                  <w:tcW w:w="1293" w:type="pct"/>
                  <w:shd w:val="clear" w:color="auto" w:fill="auto"/>
                  <w:vAlign w:val="center"/>
                </w:tcPr>
                <w:p>
                  <w:pPr>
                    <w:pStyle w:val="215"/>
                    <w:rPr>
                      <w:lang w:bidi="ar"/>
                    </w:rPr>
                  </w:pPr>
                  <w:r>
                    <w:rPr>
                      <w:lang w:bidi="ar"/>
                    </w:rPr>
                    <w:t>甲醛储罐</w:t>
                  </w:r>
                </w:p>
              </w:tc>
              <w:tc>
                <w:tcPr>
                  <w:tcW w:w="1137" w:type="pct"/>
                  <w:shd w:val="clear" w:color="auto" w:fill="auto"/>
                  <w:vAlign w:val="center"/>
                </w:tcPr>
                <w:p>
                  <w:pPr>
                    <w:pStyle w:val="215"/>
                    <w:rPr>
                      <w:lang w:bidi="ar"/>
                    </w:rPr>
                  </w:pPr>
                  <w:r>
                    <w:rPr>
                      <w:lang w:bidi="ar"/>
                    </w:rPr>
                    <w:t>50 m</w:t>
                  </w:r>
                  <w:r>
                    <w:rPr>
                      <w:vertAlign w:val="superscript"/>
                      <w:lang w:bidi="ar"/>
                    </w:rPr>
                    <w:t>3</w:t>
                  </w:r>
                </w:p>
              </w:tc>
              <w:tc>
                <w:tcPr>
                  <w:tcW w:w="416" w:type="pct"/>
                  <w:shd w:val="clear" w:color="auto" w:fill="auto"/>
                  <w:vAlign w:val="center"/>
                </w:tcPr>
                <w:p>
                  <w:pPr>
                    <w:pStyle w:val="215"/>
                    <w:rPr>
                      <w:lang w:bidi="ar"/>
                    </w:rPr>
                  </w:pPr>
                  <w:r>
                    <w:rPr>
                      <w:lang w:bidi="ar"/>
                    </w:rPr>
                    <w:t>个</w:t>
                  </w:r>
                </w:p>
              </w:tc>
              <w:tc>
                <w:tcPr>
                  <w:tcW w:w="360" w:type="pct"/>
                  <w:shd w:val="clear" w:color="auto" w:fill="auto"/>
                  <w:vAlign w:val="center"/>
                </w:tcPr>
                <w:p>
                  <w:pPr>
                    <w:pStyle w:val="215"/>
                    <w:rPr>
                      <w:lang w:bidi="ar"/>
                    </w:rPr>
                  </w:pPr>
                  <w:r>
                    <w:rPr>
                      <w:lang w:bidi="ar"/>
                    </w:rPr>
                    <w:t>3</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九</w:t>
                  </w:r>
                </w:p>
              </w:tc>
              <w:tc>
                <w:tcPr>
                  <w:tcW w:w="4516" w:type="pct"/>
                  <w:gridSpan w:val="5"/>
                  <w:shd w:val="clear" w:color="auto" w:fill="auto"/>
                  <w:vAlign w:val="center"/>
                </w:tcPr>
                <w:p>
                  <w:pPr>
                    <w:pStyle w:val="215"/>
                    <w:rPr>
                      <w:lang w:bidi="ar"/>
                    </w:rPr>
                  </w:pPr>
                  <w:r>
                    <w:rPr>
                      <w:lang w:bidi="ar"/>
                    </w:rPr>
                    <w:t>锅炉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w:t>
                  </w:r>
                </w:p>
              </w:tc>
              <w:tc>
                <w:tcPr>
                  <w:tcW w:w="1293" w:type="pct"/>
                  <w:shd w:val="clear" w:color="auto" w:fill="auto"/>
                  <w:vAlign w:val="center"/>
                </w:tcPr>
                <w:p>
                  <w:pPr>
                    <w:pStyle w:val="215"/>
                    <w:rPr>
                      <w:lang w:bidi="ar"/>
                    </w:rPr>
                  </w:pPr>
                  <w:r>
                    <w:rPr>
                      <w:lang w:bidi="ar"/>
                    </w:rPr>
                    <w:t>有机热载体锅炉</w:t>
                  </w:r>
                </w:p>
              </w:tc>
              <w:tc>
                <w:tcPr>
                  <w:tcW w:w="1137" w:type="pct"/>
                  <w:shd w:val="clear" w:color="auto" w:fill="auto"/>
                  <w:vAlign w:val="center"/>
                </w:tcPr>
                <w:p>
                  <w:pPr>
                    <w:pStyle w:val="215"/>
                    <w:rPr>
                      <w:lang w:bidi="ar"/>
                    </w:rPr>
                  </w:pPr>
                  <w:r>
                    <w:rPr>
                      <w:lang w:bidi="ar"/>
                    </w:rPr>
                    <w:t>YY（Q)W-4100YQ</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pPr>
                  <w:r>
                    <w:rPr>
                      <w:lang w:bidi="ar"/>
                    </w:rPr>
                    <w:t>额定热功率（kW）:4</w:t>
                  </w:r>
                  <w:r>
                    <w:rPr>
                      <w:rFonts w:hint="eastAsia"/>
                      <w:lang w:bidi="ar"/>
                    </w:rPr>
                    <w:t>1</w:t>
                  </w:r>
                  <w:r>
                    <w:rPr>
                      <w:lang w:bidi="ar"/>
                    </w:rPr>
                    <w:t>00</w:t>
                  </w:r>
                </w:p>
                <w:p>
                  <w:pPr>
                    <w:pStyle w:val="215"/>
                    <w:rPr>
                      <w:lang w:bidi="ar"/>
                    </w:rPr>
                  </w:pPr>
                  <w:r>
                    <w:rPr>
                      <w:lang w:bidi="ar"/>
                    </w:rPr>
                    <w:t>设计压力(MPa):1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2</w:t>
                  </w:r>
                </w:p>
              </w:tc>
              <w:tc>
                <w:tcPr>
                  <w:tcW w:w="1293" w:type="pct"/>
                  <w:shd w:val="clear" w:color="auto" w:fill="auto"/>
                  <w:vAlign w:val="center"/>
                </w:tcPr>
                <w:p>
                  <w:pPr>
                    <w:pStyle w:val="215"/>
                    <w:rPr>
                      <w:lang w:bidi="ar"/>
                    </w:rPr>
                  </w:pPr>
                  <w:r>
                    <w:rPr>
                      <w:lang w:bidi="ar"/>
                    </w:rPr>
                    <w:t>有机热载体锅炉</w:t>
                  </w:r>
                </w:p>
              </w:tc>
              <w:tc>
                <w:tcPr>
                  <w:tcW w:w="1137" w:type="pct"/>
                  <w:shd w:val="clear" w:color="auto" w:fill="auto"/>
                  <w:vAlign w:val="center"/>
                </w:tcPr>
                <w:p>
                  <w:pPr>
                    <w:pStyle w:val="215"/>
                    <w:rPr>
                      <w:lang w:bidi="ar"/>
                    </w:rPr>
                  </w:pPr>
                  <w:r>
                    <w:rPr>
                      <w:lang w:bidi="ar"/>
                    </w:rPr>
                    <w:t>YY（Q)W-</w:t>
                  </w:r>
                  <w:r>
                    <w:rPr>
                      <w:rFonts w:hint="eastAsia"/>
                      <w:lang w:bidi="ar"/>
                    </w:rPr>
                    <w:t>99</w:t>
                  </w:r>
                  <w:r>
                    <w:rPr>
                      <w:lang w:bidi="ar"/>
                    </w:rPr>
                    <w:t>YQ</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pPr>
                  <w:r>
                    <w:rPr>
                      <w:lang w:bidi="ar"/>
                    </w:rPr>
                    <w:t>额定热功率（kW）:</w:t>
                  </w:r>
                  <w:r>
                    <w:rPr>
                      <w:rFonts w:hint="eastAsia"/>
                      <w:lang w:bidi="ar"/>
                    </w:rPr>
                    <w:t>99</w:t>
                  </w:r>
                </w:p>
                <w:p>
                  <w:pPr>
                    <w:pStyle w:val="215"/>
                    <w:rPr>
                      <w:lang w:bidi="ar"/>
                    </w:rPr>
                  </w:pPr>
                  <w:r>
                    <w:rPr>
                      <w:lang w:bidi="ar"/>
                    </w:rPr>
                    <w:t>设计压力(MPa):</w:t>
                  </w:r>
                  <w:r>
                    <w:rPr>
                      <w:rFonts w:hint="eastAsia"/>
                      <w:lang w:bidi="ar"/>
                    </w:rPr>
                    <w:t>0.8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484" w:type="pct"/>
                  <w:shd w:val="clear" w:color="auto" w:fill="auto"/>
                  <w:vAlign w:val="center"/>
                </w:tcPr>
                <w:p>
                  <w:pPr>
                    <w:pStyle w:val="215"/>
                    <w:rPr>
                      <w:lang w:bidi="ar"/>
                    </w:rPr>
                  </w:pPr>
                  <w:r>
                    <w:rPr>
                      <w:lang w:bidi="ar"/>
                    </w:rPr>
                    <w:t>3</w:t>
                  </w:r>
                </w:p>
              </w:tc>
              <w:tc>
                <w:tcPr>
                  <w:tcW w:w="1293" w:type="pct"/>
                  <w:shd w:val="clear" w:color="auto" w:fill="auto"/>
                  <w:vAlign w:val="center"/>
                </w:tcPr>
                <w:p>
                  <w:pPr>
                    <w:pStyle w:val="215"/>
                    <w:rPr>
                      <w:lang w:bidi="ar"/>
                    </w:rPr>
                  </w:pPr>
                  <w:r>
                    <w:rPr>
                      <w:lang w:bidi="ar"/>
                    </w:rPr>
                    <w:t>天然气热风炉</w:t>
                  </w:r>
                </w:p>
              </w:tc>
              <w:tc>
                <w:tcPr>
                  <w:tcW w:w="1137" w:type="pct"/>
                  <w:shd w:val="clear" w:color="auto" w:fill="auto"/>
                  <w:vAlign w:val="center"/>
                </w:tcPr>
                <w:p>
                  <w:pPr>
                    <w:pStyle w:val="215"/>
                    <w:rPr>
                      <w:lang w:bidi="ar"/>
                    </w:rPr>
                  </w:pPr>
                  <w:r>
                    <w:rPr>
                      <w:lang w:bidi="ar"/>
                    </w:rPr>
                    <w:t>ZRFQ-7000Q</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484" w:type="pct"/>
                  <w:shd w:val="clear" w:color="auto" w:fill="auto"/>
                  <w:vAlign w:val="center"/>
                </w:tcPr>
                <w:p>
                  <w:pPr>
                    <w:pStyle w:val="215"/>
                    <w:rPr>
                      <w:lang w:bidi="ar"/>
                    </w:rPr>
                  </w:pPr>
                  <w:r>
                    <w:rPr>
                      <w:lang w:bidi="ar"/>
                    </w:rPr>
                    <w:t>4</w:t>
                  </w:r>
                </w:p>
              </w:tc>
              <w:tc>
                <w:tcPr>
                  <w:tcW w:w="1293" w:type="pct"/>
                  <w:shd w:val="clear" w:color="auto" w:fill="auto"/>
                  <w:vAlign w:val="center"/>
                </w:tcPr>
                <w:p>
                  <w:pPr>
                    <w:pStyle w:val="215"/>
                    <w:rPr>
                      <w:lang w:bidi="ar"/>
                    </w:rPr>
                  </w:pPr>
                  <w:r>
                    <w:rPr>
                      <w:lang w:bidi="ar"/>
                    </w:rPr>
                    <w:t>燃烧器（热风炉）</w:t>
                  </w:r>
                </w:p>
              </w:tc>
              <w:tc>
                <w:tcPr>
                  <w:tcW w:w="1137" w:type="pct"/>
                  <w:shd w:val="clear" w:color="auto" w:fill="auto"/>
                  <w:vAlign w:val="center"/>
                </w:tcPr>
                <w:p>
                  <w:pPr>
                    <w:pStyle w:val="215"/>
                    <w:rPr>
                      <w:lang w:bidi="ar"/>
                    </w:rPr>
                  </w:pPr>
                  <w:r>
                    <w:rPr>
                      <w:lang w:bidi="ar"/>
                    </w:rPr>
                    <w:t>DB6</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r>
                    <w:rPr>
                      <w:lang w:bidi="ar"/>
                    </w:rPr>
                    <w:t>热风炉自带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5</w:t>
                  </w:r>
                </w:p>
              </w:tc>
              <w:tc>
                <w:tcPr>
                  <w:tcW w:w="1293" w:type="pct"/>
                  <w:shd w:val="clear" w:color="auto" w:fill="auto"/>
                  <w:vAlign w:val="center"/>
                </w:tcPr>
                <w:p>
                  <w:pPr>
                    <w:pStyle w:val="215"/>
                  </w:pPr>
                  <w:r>
                    <w:rPr>
                      <w:lang w:bidi="ar"/>
                    </w:rPr>
                    <w:t>强混式多燃料混合燃烧器</w:t>
                  </w:r>
                </w:p>
                <w:p>
                  <w:pPr>
                    <w:pStyle w:val="215"/>
                    <w:rPr>
                      <w:lang w:bidi="ar"/>
                    </w:rPr>
                  </w:pPr>
                </w:p>
              </w:tc>
              <w:tc>
                <w:tcPr>
                  <w:tcW w:w="1137" w:type="pct"/>
                  <w:shd w:val="clear" w:color="auto" w:fill="auto"/>
                  <w:vAlign w:val="center"/>
                </w:tcPr>
                <w:p>
                  <w:pPr>
                    <w:pStyle w:val="215"/>
                  </w:pPr>
                  <w:r>
                    <w:rPr>
                      <w:lang w:bidi="ar"/>
                    </w:rPr>
                    <w:t>程序控制PLC-S7200</w:t>
                  </w:r>
                </w:p>
                <w:p>
                  <w:pPr>
                    <w:pStyle w:val="215"/>
                  </w:pPr>
                  <w:r>
                    <w:rPr>
                      <w:lang w:bidi="ar"/>
                    </w:rPr>
                    <w:t>高能点火GYDQ-12</w:t>
                  </w:r>
                </w:p>
                <w:p>
                  <w:pPr>
                    <w:pStyle w:val="215"/>
                  </w:pPr>
                  <w:r>
                    <w:rPr>
                      <w:lang w:bidi="ar"/>
                    </w:rPr>
                    <w:t>火焰检测器：QRA2m</w:t>
                  </w:r>
                </w:p>
                <w:p>
                  <w:pPr>
                    <w:pStyle w:val="215"/>
                    <w:rPr>
                      <w:lang w:bidi="ar"/>
                    </w:rPr>
                  </w:pPr>
                  <w:r>
                    <w:rPr>
                      <w:lang w:bidi="ar"/>
                    </w:rPr>
                    <w:t>风</w:t>
                  </w:r>
                  <w:r>
                    <w:rPr>
                      <w:rFonts w:hint="eastAsia"/>
                      <w:lang w:bidi="ar"/>
                    </w:rPr>
                    <w:t>机</w:t>
                  </w:r>
                  <w:r>
                    <w:rPr>
                      <w:lang w:bidi="ar"/>
                    </w:rPr>
                    <w:t>G6-41-11NO5.4A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6</w:t>
                  </w:r>
                </w:p>
              </w:tc>
              <w:tc>
                <w:tcPr>
                  <w:tcW w:w="1293" w:type="pct"/>
                  <w:shd w:val="clear" w:color="auto" w:fill="auto"/>
                  <w:vAlign w:val="center"/>
                </w:tcPr>
                <w:p>
                  <w:pPr>
                    <w:pStyle w:val="215"/>
                    <w:rPr>
                      <w:lang w:bidi="ar"/>
                    </w:rPr>
                  </w:pPr>
                  <w:r>
                    <w:rPr>
                      <w:lang w:bidi="ar"/>
                    </w:rPr>
                    <w:t>控制柜</w:t>
                  </w:r>
                </w:p>
              </w:tc>
              <w:tc>
                <w:tcPr>
                  <w:tcW w:w="1137" w:type="pct"/>
                  <w:shd w:val="clear" w:color="auto" w:fill="auto"/>
                  <w:vAlign w:val="center"/>
                </w:tcPr>
                <w:p>
                  <w:pPr>
                    <w:pStyle w:val="215"/>
                    <w:rPr>
                      <w:lang w:bidi="ar"/>
                    </w:rPr>
                  </w:pPr>
                </w:p>
              </w:tc>
              <w:tc>
                <w:tcPr>
                  <w:tcW w:w="416" w:type="pct"/>
                  <w:shd w:val="clear" w:color="auto" w:fill="auto"/>
                  <w:vAlign w:val="center"/>
                </w:tcPr>
                <w:p>
                  <w:pPr>
                    <w:pStyle w:val="215"/>
                    <w:rPr>
                      <w:lang w:bidi="ar"/>
                    </w:rPr>
                  </w:pPr>
                  <w:r>
                    <w:rPr>
                      <w:lang w:bidi="ar"/>
                    </w:rPr>
                    <w:t>套</w:t>
                  </w:r>
                </w:p>
              </w:tc>
              <w:tc>
                <w:tcPr>
                  <w:tcW w:w="360" w:type="pct"/>
                  <w:shd w:val="clear" w:color="auto" w:fill="auto"/>
                  <w:vAlign w:val="center"/>
                </w:tcPr>
                <w:p>
                  <w:pPr>
                    <w:pStyle w:val="215"/>
                    <w:rPr>
                      <w:lang w:bidi="ar"/>
                    </w:rPr>
                  </w:pPr>
                  <w:r>
                    <w:rPr>
                      <w:lang w:bidi="ar"/>
                    </w:rPr>
                    <w:t>3</w:t>
                  </w:r>
                </w:p>
              </w:tc>
              <w:tc>
                <w:tcPr>
                  <w:tcW w:w="1310" w:type="pct"/>
                  <w:shd w:val="clear" w:color="auto" w:fill="auto"/>
                  <w:vAlign w:val="center"/>
                </w:tcPr>
                <w:p>
                  <w:pPr>
                    <w:pStyle w:val="215"/>
                    <w:rPr>
                      <w:lang w:bidi="ar"/>
                    </w:rPr>
                  </w:pPr>
                  <w:r>
                    <w:rPr>
                      <w:lang w:bidi="ar"/>
                    </w:rPr>
                    <w:t>锅炉自带、燃烧器自带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7</w:t>
                  </w:r>
                </w:p>
              </w:tc>
              <w:tc>
                <w:tcPr>
                  <w:tcW w:w="1293" w:type="pct"/>
                  <w:shd w:val="clear" w:color="auto" w:fill="auto"/>
                  <w:vAlign w:val="center"/>
                </w:tcPr>
                <w:p>
                  <w:pPr>
                    <w:pStyle w:val="215"/>
                    <w:rPr>
                      <w:lang w:bidi="ar"/>
                    </w:rPr>
                  </w:pPr>
                  <w:r>
                    <w:rPr>
                      <w:lang w:bidi="ar"/>
                    </w:rPr>
                    <w:t>导热油储罐</w:t>
                  </w:r>
                </w:p>
              </w:tc>
              <w:tc>
                <w:tcPr>
                  <w:tcW w:w="1137" w:type="pct"/>
                  <w:shd w:val="clear" w:color="auto" w:fill="auto"/>
                  <w:vAlign w:val="center"/>
                </w:tcPr>
                <w:p>
                  <w:pPr>
                    <w:pStyle w:val="215"/>
                    <w:rPr>
                      <w:lang w:bidi="ar"/>
                    </w:rPr>
                  </w:pPr>
                  <w:r>
                    <w:rPr>
                      <w:lang w:bidi="ar"/>
                    </w:rPr>
                    <w:t>BR</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8</w:t>
                  </w:r>
                </w:p>
              </w:tc>
              <w:tc>
                <w:tcPr>
                  <w:tcW w:w="1293" w:type="pct"/>
                  <w:shd w:val="clear" w:color="auto" w:fill="auto"/>
                  <w:vAlign w:val="center"/>
                </w:tcPr>
                <w:p>
                  <w:pPr>
                    <w:pStyle w:val="215"/>
                    <w:rPr>
                      <w:lang w:bidi="ar"/>
                    </w:rPr>
                  </w:pPr>
                  <w:r>
                    <w:rPr>
                      <w:lang w:bidi="ar"/>
                    </w:rPr>
                    <w:t>高位膨胀槽</w:t>
                  </w:r>
                </w:p>
              </w:tc>
              <w:tc>
                <w:tcPr>
                  <w:tcW w:w="1137" w:type="pct"/>
                  <w:shd w:val="clear" w:color="auto" w:fill="auto"/>
                  <w:vAlign w:val="center"/>
                </w:tcPr>
                <w:p>
                  <w:pPr>
                    <w:pStyle w:val="215"/>
                    <w:rPr>
                      <w:lang w:bidi="ar"/>
                    </w:rPr>
                  </w:pPr>
                  <w:r>
                    <w:rPr>
                      <w:lang w:bidi="ar"/>
                    </w:rPr>
                    <w:t>BR</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9</w:t>
                  </w:r>
                </w:p>
              </w:tc>
              <w:tc>
                <w:tcPr>
                  <w:tcW w:w="1293" w:type="pct"/>
                  <w:shd w:val="clear" w:color="auto" w:fill="auto"/>
                  <w:vAlign w:val="center"/>
                </w:tcPr>
                <w:p>
                  <w:pPr>
                    <w:pStyle w:val="215"/>
                    <w:rPr>
                      <w:lang w:bidi="ar"/>
                    </w:rPr>
                  </w:pPr>
                  <w:r>
                    <w:rPr>
                      <w:lang w:bidi="ar"/>
                    </w:rPr>
                    <w:t>注油泵</w:t>
                  </w:r>
                </w:p>
              </w:tc>
              <w:tc>
                <w:tcPr>
                  <w:tcW w:w="1137" w:type="pct"/>
                  <w:shd w:val="clear" w:color="auto" w:fill="auto"/>
                  <w:vAlign w:val="center"/>
                </w:tcPr>
                <w:p>
                  <w:pPr>
                    <w:pStyle w:val="215"/>
                    <w:rPr>
                      <w:lang w:bidi="ar"/>
                    </w:rPr>
                  </w:pPr>
                  <w:r>
                    <w:rPr>
                      <w:lang w:bidi="ar"/>
                    </w:rPr>
                    <w:t>40-160A</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lang w:bidi="ar"/>
                    </w:rPr>
                    <w:t>10</w:t>
                  </w:r>
                </w:p>
              </w:tc>
              <w:tc>
                <w:tcPr>
                  <w:tcW w:w="1293" w:type="pct"/>
                  <w:shd w:val="clear" w:color="auto" w:fill="auto"/>
                  <w:vAlign w:val="center"/>
                </w:tcPr>
                <w:p>
                  <w:pPr>
                    <w:pStyle w:val="215"/>
                    <w:rPr>
                      <w:lang w:bidi="ar"/>
                    </w:rPr>
                  </w:pPr>
                  <w:r>
                    <w:rPr>
                      <w:lang w:bidi="ar"/>
                    </w:rPr>
                    <w:t>高温循环泵</w:t>
                  </w:r>
                </w:p>
              </w:tc>
              <w:tc>
                <w:tcPr>
                  <w:tcW w:w="1137" w:type="pct"/>
                  <w:shd w:val="clear" w:color="auto" w:fill="auto"/>
                  <w:vAlign w:val="center"/>
                </w:tcPr>
                <w:p>
                  <w:pPr>
                    <w:pStyle w:val="215"/>
                    <w:rPr>
                      <w:lang w:bidi="ar"/>
                    </w:rPr>
                  </w:pPr>
                  <w:r>
                    <w:rPr>
                      <w:lang w:bidi="ar"/>
                    </w:rPr>
                    <w:t>WRY-100-65-200B</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2</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11</w:t>
                  </w:r>
                </w:p>
              </w:tc>
              <w:tc>
                <w:tcPr>
                  <w:tcW w:w="1293" w:type="pct"/>
                  <w:shd w:val="clear" w:color="auto" w:fill="auto"/>
                  <w:vAlign w:val="center"/>
                </w:tcPr>
                <w:p>
                  <w:pPr>
                    <w:pStyle w:val="215"/>
                    <w:rPr>
                      <w:lang w:bidi="ar"/>
                    </w:rPr>
                  </w:pPr>
                  <w:r>
                    <w:rPr>
                      <w:lang w:bidi="ar"/>
                    </w:rPr>
                    <w:t>天然气管道</w:t>
                  </w:r>
                </w:p>
              </w:tc>
              <w:tc>
                <w:tcPr>
                  <w:tcW w:w="1137" w:type="pct"/>
                  <w:shd w:val="clear" w:color="auto" w:fill="auto"/>
                  <w:vAlign w:val="center"/>
                </w:tcPr>
                <w:p>
                  <w:pPr>
                    <w:pStyle w:val="215"/>
                    <w:rPr>
                      <w:lang w:bidi="ar"/>
                    </w:rPr>
                  </w:pPr>
                  <w:r>
                    <w:rPr>
                      <w:lang w:bidi="ar"/>
                    </w:rPr>
                    <w:t>无缝钢管</w:t>
                  </w:r>
                </w:p>
              </w:tc>
              <w:tc>
                <w:tcPr>
                  <w:tcW w:w="416" w:type="pct"/>
                  <w:shd w:val="clear" w:color="auto" w:fill="auto"/>
                  <w:vAlign w:val="center"/>
                </w:tcPr>
                <w:p>
                  <w:pPr>
                    <w:pStyle w:val="215"/>
                    <w:rPr>
                      <w:lang w:bidi="ar"/>
                    </w:rPr>
                  </w:pPr>
                  <w:r>
                    <w:rPr>
                      <w:lang w:bidi="ar"/>
                    </w:rPr>
                    <w:t>米</w:t>
                  </w:r>
                </w:p>
              </w:tc>
              <w:tc>
                <w:tcPr>
                  <w:tcW w:w="360" w:type="pct"/>
                  <w:shd w:val="clear" w:color="auto" w:fill="auto"/>
                  <w:vAlign w:val="center"/>
                </w:tcPr>
                <w:p>
                  <w:pPr>
                    <w:pStyle w:val="215"/>
                    <w:rPr>
                      <w:lang w:bidi="ar"/>
                    </w:rPr>
                  </w:pPr>
                  <w:r>
                    <w:rPr>
                      <w:lang w:bidi="ar"/>
                    </w:rPr>
                    <w:t>210</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lang w:bidi="ar"/>
                    </w:rPr>
                    <w:t>12</w:t>
                  </w:r>
                </w:p>
              </w:tc>
              <w:tc>
                <w:tcPr>
                  <w:tcW w:w="1293" w:type="pct"/>
                  <w:shd w:val="clear" w:color="auto" w:fill="auto"/>
                  <w:vAlign w:val="center"/>
                </w:tcPr>
                <w:p>
                  <w:pPr>
                    <w:pStyle w:val="215"/>
                    <w:rPr>
                      <w:lang w:bidi="ar"/>
                    </w:rPr>
                  </w:pPr>
                  <w:r>
                    <w:rPr>
                      <w:lang w:bidi="ar"/>
                    </w:rPr>
                    <w:t>风机</w:t>
                  </w:r>
                </w:p>
              </w:tc>
              <w:tc>
                <w:tcPr>
                  <w:tcW w:w="1137" w:type="pct"/>
                  <w:shd w:val="clear" w:color="auto" w:fill="auto"/>
                  <w:vAlign w:val="center"/>
                </w:tcPr>
                <w:p>
                  <w:pPr>
                    <w:pStyle w:val="215"/>
                    <w:rPr>
                      <w:lang w:bidi="ar"/>
                    </w:rPr>
                  </w:pPr>
                  <w:r>
                    <w:rPr>
                      <w:lang w:bidi="ar"/>
                    </w:rPr>
                    <w:t>BT35-11/5</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3</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13</w:t>
                  </w:r>
                </w:p>
              </w:tc>
              <w:tc>
                <w:tcPr>
                  <w:tcW w:w="1293" w:type="pct"/>
                  <w:shd w:val="clear" w:color="auto" w:fill="auto"/>
                  <w:vAlign w:val="center"/>
                </w:tcPr>
                <w:p>
                  <w:pPr>
                    <w:pStyle w:val="215"/>
                    <w:rPr>
                      <w:lang w:bidi="ar"/>
                    </w:rPr>
                  </w:pPr>
                  <w:r>
                    <w:rPr>
                      <w:lang w:bidi="ar"/>
                    </w:rPr>
                    <w:t>调压箱</w:t>
                  </w:r>
                </w:p>
              </w:tc>
              <w:tc>
                <w:tcPr>
                  <w:tcW w:w="1137" w:type="pct"/>
                  <w:shd w:val="clear" w:color="auto" w:fill="auto"/>
                  <w:vAlign w:val="center"/>
                </w:tcPr>
                <w:p>
                  <w:pPr>
                    <w:pStyle w:val="215"/>
                    <w:rPr>
                      <w:lang w:bidi="ar"/>
                    </w:rPr>
                  </w:pPr>
                  <w:r>
                    <w:rPr>
                      <w:lang w:bidi="ar"/>
                    </w:rPr>
                    <w:t>GTX-100</w:t>
                  </w:r>
                </w:p>
              </w:tc>
              <w:tc>
                <w:tcPr>
                  <w:tcW w:w="416" w:type="pct"/>
                  <w:shd w:val="clear" w:color="auto" w:fill="auto"/>
                  <w:vAlign w:val="center"/>
                </w:tcPr>
                <w:p>
                  <w:pPr>
                    <w:pStyle w:val="215"/>
                    <w:rPr>
                      <w:lang w:bidi="ar"/>
                    </w:rPr>
                  </w:pPr>
                  <w:r>
                    <w:rPr>
                      <w:lang w:bidi="ar"/>
                    </w:rPr>
                    <w:t>台</w:t>
                  </w:r>
                </w:p>
              </w:tc>
              <w:tc>
                <w:tcPr>
                  <w:tcW w:w="360" w:type="pct"/>
                  <w:shd w:val="clear" w:color="auto" w:fill="auto"/>
                  <w:vAlign w:val="center"/>
                </w:tcPr>
                <w:p>
                  <w:pPr>
                    <w:pStyle w:val="215"/>
                    <w:rPr>
                      <w:lang w:bidi="ar"/>
                    </w:rPr>
                  </w:pPr>
                  <w:r>
                    <w:rPr>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rFonts w:hint="eastAsia"/>
                      <w:lang w:bidi="ar"/>
                    </w:rPr>
                    <w:t>十</w:t>
                  </w:r>
                </w:p>
              </w:tc>
              <w:tc>
                <w:tcPr>
                  <w:tcW w:w="4516" w:type="pct"/>
                  <w:gridSpan w:val="5"/>
                  <w:shd w:val="clear" w:color="auto" w:fill="auto"/>
                  <w:vAlign w:val="center"/>
                </w:tcPr>
                <w:p>
                  <w:pPr>
                    <w:pStyle w:val="215"/>
                    <w:rPr>
                      <w:lang w:bidi="ar"/>
                    </w:rPr>
                  </w:pPr>
                  <w:r>
                    <w:rPr>
                      <w:rFonts w:hint="eastAsia"/>
                      <w:lang w:bidi="ar"/>
                    </w:rPr>
                    <w:t>其他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1</w:t>
                  </w:r>
                </w:p>
              </w:tc>
              <w:tc>
                <w:tcPr>
                  <w:tcW w:w="1293" w:type="pct"/>
                  <w:shd w:val="clear" w:color="auto" w:fill="auto"/>
                  <w:vAlign w:val="center"/>
                </w:tcPr>
                <w:p>
                  <w:pPr>
                    <w:pStyle w:val="215"/>
                    <w:rPr>
                      <w:lang w:bidi="ar"/>
                    </w:rPr>
                  </w:pPr>
                  <w:r>
                    <w:rPr>
                      <w:rFonts w:hint="eastAsia"/>
                      <w:lang w:bidi="ar"/>
                    </w:rPr>
                    <w:t>叉车</w:t>
                  </w:r>
                </w:p>
              </w:tc>
              <w:tc>
                <w:tcPr>
                  <w:tcW w:w="1137" w:type="pct"/>
                  <w:shd w:val="clear" w:color="auto" w:fill="auto"/>
                  <w:vAlign w:val="center"/>
                </w:tcPr>
                <w:p>
                  <w:pPr>
                    <w:pStyle w:val="215"/>
                    <w:rPr>
                      <w:lang w:bidi="ar"/>
                    </w:rPr>
                  </w:pPr>
                  <w:r>
                    <w:rPr>
                      <w:rFonts w:hint="eastAsia"/>
                      <w:lang w:bidi="ar"/>
                    </w:rPr>
                    <w:t>CPCD38、CPC30</w:t>
                  </w:r>
                </w:p>
              </w:tc>
              <w:tc>
                <w:tcPr>
                  <w:tcW w:w="416" w:type="pct"/>
                  <w:shd w:val="clear" w:color="auto" w:fill="auto"/>
                  <w:vAlign w:val="center"/>
                </w:tcPr>
                <w:p>
                  <w:pPr>
                    <w:pStyle w:val="215"/>
                    <w:rPr>
                      <w:lang w:bidi="ar"/>
                    </w:rPr>
                  </w:pPr>
                  <w:r>
                    <w:rPr>
                      <w:rFonts w:hint="eastAsia"/>
                      <w:lang w:bidi="ar"/>
                    </w:rPr>
                    <w:t>辆</w:t>
                  </w:r>
                </w:p>
              </w:tc>
              <w:tc>
                <w:tcPr>
                  <w:tcW w:w="360" w:type="pct"/>
                  <w:shd w:val="clear" w:color="auto" w:fill="auto"/>
                  <w:vAlign w:val="center"/>
                </w:tcPr>
                <w:p>
                  <w:pPr>
                    <w:pStyle w:val="215"/>
                    <w:rPr>
                      <w:lang w:bidi="ar"/>
                    </w:rPr>
                  </w:pPr>
                  <w:r>
                    <w:rPr>
                      <w:rFonts w:hint="eastAsia"/>
                      <w:lang w:bidi="ar"/>
                    </w:rPr>
                    <w:t>4</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2</w:t>
                  </w:r>
                </w:p>
              </w:tc>
              <w:tc>
                <w:tcPr>
                  <w:tcW w:w="1293" w:type="pct"/>
                  <w:shd w:val="clear" w:color="auto" w:fill="auto"/>
                  <w:vAlign w:val="center"/>
                </w:tcPr>
                <w:p>
                  <w:pPr>
                    <w:pStyle w:val="215"/>
                    <w:rPr>
                      <w:lang w:bidi="ar"/>
                    </w:rPr>
                  </w:pPr>
                  <w:r>
                    <w:rPr>
                      <w:rFonts w:hint="eastAsia"/>
                      <w:lang w:bidi="ar"/>
                    </w:rPr>
                    <w:t>制氮系统</w:t>
                  </w:r>
                </w:p>
              </w:tc>
              <w:tc>
                <w:tcPr>
                  <w:tcW w:w="1137" w:type="pct"/>
                  <w:shd w:val="clear" w:color="auto" w:fill="auto"/>
                  <w:vAlign w:val="center"/>
                </w:tcPr>
                <w:p>
                  <w:pPr>
                    <w:pStyle w:val="215"/>
                    <w:rPr>
                      <w:lang w:bidi="ar"/>
                    </w:rPr>
                  </w:pPr>
                  <w:r>
                    <w:rPr>
                      <w:rFonts w:hint="eastAsia"/>
                      <w:lang w:bidi="ar"/>
                    </w:rPr>
                    <w:t>/</w:t>
                  </w:r>
                </w:p>
              </w:tc>
              <w:tc>
                <w:tcPr>
                  <w:tcW w:w="416" w:type="pct"/>
                  <w:shd w:val="clear" w:color="auto" w:fill="auto"/>
                  <w:vAlign w:val="center"/>
                </w:tcPr>
                <w:p>
                  <w:pPr>
                    <w:pStyle w:val="215"/>
                    <w:rPr>
                      <w:lang w:bidi="ar"/>
                    </w:rPr>
                  </w:pPr>
                  <w:r>
                    <w:rPr>
                      <w:rFonts w:hint="eastAsia"/>
                      <w:lang w:bidi="ar"/>
                    </w:rPr>
                    <w:t>套</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r>
                    <w:rPr>
                      <w:rFonts w:hint="eastAsia"/>
                      <w:lang w:bidi="ar"/>
                    </w:rPr>
                    <w:t>含压缩空气储罐、安全阀、压力表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3</w:t>
                  </w:r>
                </w:p>
              </w:tc>
              <w:tc>
                <w:tcPr>
                  <w:tcW w:w="1293" w:type="pct"/>
                  <w:shd w:val="clear" w:color="auto" w:fill="auto"/>
                  <w:vAlign w:val="center"/>
                </w:tcPr>
                <w:p>
                  <w:pPr>
                    <w:pStyle w:val="215"/>
                    <w:rPr>
                      <w:lang w:bidi="ar"/>
                    </w:rPr>
                  </w:pPr>
                  <w:r>
                    <w:rPr>
                      <w:rFonts w:hint="eastAsia"/>
                      <w:lang w:bidi="ar"/>
                    </w:rPr>
                    <w:t>箱式变压器</w:t>
                  </w:r>
                </w:p>
              </w:tc>
              <w:tc>
                <w:tcPr>
                  <w:tcW w:w="1137" w:type="pct"/>
                  <w:shd w:val="clear" w:color="auto" w:fill="auto"/>
                  <w:vAlign w:val="center"/>
                </w:tcPr>
                <w:p>
                  <w:pPr>
                    <w:pStyle w:val="215"/>
                    <w:rPr>
                      <w:lang w:bidi="ar"/>
                    </w:rPr>
                  </w:pPr>
                  <w:r>
                    <w:rPr>
                      <w:rFonts w:hint="eastAsia"/>
                      <w:lang w:bidi="ar"/>
                    </w:rPr>
                    <w:t>2000KVA</w:t>
                  </w:r>
                </w:p>
              </w:tc>
              <w:tc>
                <w:tcPr>
                  <w:tcW w:w="416" w:type="pct"/>
                  <w:shd w:val="clear" w:color="auto" w:fill="auto"/>
                  <w:vAlign w:val="center"/>
                </w:tcPr>
                <w:p>
                  <w:pPr>
                    <w:pStyle w:val="215"/>
                    <w:rPr>
                      <w:lang w:bidi="ar"/>
                    </w:rPr>
                  </w:pPr>
                  <w:r>
                    <w:rPr>
                      <w:rFonts w:hint="eastAsia"/>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484" w:type="pct"/>
                  <w:shd w:val="clear" w:color="auto" w:fill="auto"/>
                  <w:vAlign w:val="center"/>
                </w:tcPr>
                <w:p>
                  <w:pPr>
                    <w:pStyle w:val="215"/>
                    <w:rPr>
                      <w:lang w:bidi="ar"/>
                    </w:rPr>
                  </w:pPr>
                  <w:r>
                    <w:rPr>
                      <w:rFonts w:hint="eastAsia"/>
                      <w:lang w:bidi="ar"/>
                    </w:rPr>
                    <w:t>4</w:t>
                  </w:r>
                </w:p>
              </w:tc>
              <w:tc>
                <w:tcPr>
                  <w:tcW w:w="1293" w:type="pct"/>
                  <w:shd w:val="clear" w:color="auto" w:fill="auto"/>
                  <w:vAlign w:val="center"/>
                </w:tcPr>
                <w:p>
                  <w:pPr>
                    <w:pStyle w:val="215"/>
                    <w:rPr>
                      <w:lang w:bidi="ar"/>
                    </w:rPr>
                  </w:pPr>
                  <w:r>
                    <w:rPr>
                      <w:rFonts w:hint="eastAsia"/>
                      <w:lang w:bidi="ar"/>
                    </w:rPr>
                    <w:t>箱式变压器</w:t>
                  </w:r>
                </w:p>
              </w:tc>
              <w:tc>
                <w:tcPr>
                  <w:tcW w:w="1137" w:type="pct"/>
                  <w:shd w:val="clear" w:color="auto" w:fill="auto"/>
                  <w:vAlign w:val="center"/>
                </w:tcPr>
                <w:p>
                  <w:pPr>
                    <w:pStyle w:val="215"/>
                    <w:rPr>
                      <w:lang w:bidi="ar"/>
                    </w:rPr>
                  </w:pPr>
                  <w:r>
                    <w:rPr>
                      <w:rFonts w:hint="eastAsia"/>
                      <w:lang w:bidi="ar"/>
                    </w:rPr>
                    <w:t>630KVA</w:t>
                  </w:r>
                </w:p>
              </w:tc>
              <w:tc>
                <w:tcPr>
                  <w:tcW w:w="416" w:type="pct"/>
                  <w:shd w:val="clear" w:color="auto" w:fill="auto"/>
                  <w:vAlign w:val="center"/>
                </w:tcPr>
                <w:p>
                  <w:pPr>
                    <w:pStyle w:val="215"/>
                    <w:rPr>
                      <w:lang w:bidi="ar"/>
                    </w:rPr>
                  </w:pPr>
                  <w:r>
                    <w:rPr>
                      <w:rFonts w:hint="eastAsia"/>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5</w:t>
                  </w:r>
                </w:p>
              </w:tc>
              <w:tc>
                <w:tcPr>
                  <w:tcW w:w="1293" w:type="pct"/>
                  <w:shd w:val="clear" w:color="auto" w:fill="auto"/>
                  <w:vAlign w:val="center"/>
                </w:tcPr>
                <w:p>
                  <w:pPr>
                    <w:pStyle w:val="215"/>
                    <w:rPr>
                      <w:lang w:bidi="ar"/>
                    </w:rPr>
                  </w:pPr>
                  <w:r>
                    <w:rPr>
                      <w:rFonts w:hint="eastAsia"/>
                      <w:lang w:bidi="ar"/>
                    </w:rPr>
                    <w:t>杆式变压器</w:t>
                  </w:r>
                </w:p>
              </w:tc>
              <w:tc>
                <w:tcPr>
                  <w:tcW w:w="1137" w:type="pct"/>
                  <w:shd w:val="clear" w:color="auto" w:fill="auto"/>
                  <w:vAlign w:val="center"/>
                </w:tcPr>
                <w:p>
                  <w:pPr>
                    <w:pStyle w:val="215"/>
                    <w:rPr>
                      <w:lang w:bidi="ar"/>
                    </w:rPr>
                  </w:pPr>
                  <w:r>
                    <w:rPr>
                      <w:rFonts w:hint="eastAsia"/>
                      <w:lang w:bidi="ar"/>
                    </w:rPr>
                    <w:t>/</w:t>
                  </w:r>
                </w:p>
              </w:tc>
              <w:tc>
                <w:tcPr>
                  <w:tcW w:w="416" w:type="pct"/>
                  <w:shd w:val="clear" w:color="auto" w:fill="auto"/>
                  <w:vAlign w:val="center"/>
                </w:tcPr>
                <w:p>
                  <w:pPr>
                    <w:pStyle w:val="215"/>
                    <w:rPr>
                      <w:lang w:bidi="ar"/>
                    </w:rPr>
                  </w:pPr>
                  <w:r>
                    <w:rPr>
                      <w:rFonts w:hint="eastAsia"/>
                      <w:lang w:bidi="ar"/>
                    </w:rPr>
                    <w:t>台</w:t>
                  </w:r>
                </w:p>
              </w:tc>
              <w:tc>
                <w:tcPr>
                  <w:tcW w:w="360" w:type="pct"/>
                  <w:shd w:val="clear" w:color="auto" w:fill="auto"/>
                  <w:vAlign w:val="center"/>
                </w:tcPr>
                <w:p>
                  <w:pPr>
                    <w:pStyle w:val="215"/>
                    <w:rPr>
                      <w:lang w:bidi="ar"/>
                    </w:rPr>
                  </w:pPr>
                  <w:r>
                    <w:rPr>
                      <w:rFonts w:hint="eastAsia"/>
                      <w:lang w:bidi="ar"/>
                    </w:rPr>
                    <w:t>1</w:t>
                  </w:r>
                </w:p>
              </w:tc>
              <w:tc>
                <w:tcPr>
                  <w:tcW w:w="1310" w:type="pct"/>
                  <w:shd w:val="clear" w:color="auto" w:fill="auto"/>
                  <w:vAlign w:val="center"/>
                </w:tcPr>
                <w:p>
                  <w:pPr>
                    <w:pStyle w:val="215"/>
                    <w:rPr>
                      <w:lang w:bidi="ar"/>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4" w:type="pct"/>
                  <w:shd w:val="clear" w:color="auto" w:fill="auto"/>
                  <w:vAlign w:val="center"/>
                </w:tcPr>
                <w:p>
                  <w:pPr>
                    <w:pStyle w:val="215"/>
                    <w:rPr>
                      <w:lang w:bidi="ar"/>
                    </w:rPr>
                  </w:pPr>
                  <w:r>
                    <w:rPr>
                      <w:rFonts w:hint="eastAsia"/>
                      <w:lang w:bidi="ar"/>
                    </w:rPr>
                    <w:t>6</w:t>
                  </w:r>
                </w:p>
              </w:tc>
              <w:tc>
                <w:tcPr>
                  <w:tcW w:w="1293" w:type="pct"/>
                  <w:shd w:val="clear" w:color="auto" w:fill="auto"/>
                  <w:vAlign w:val="center"/>
                </w:tcPr>
                <w:p>
                  <w:pPr>
                    <w:pStyle w:val="215"/>
                    <w:rPr>
                      <w:lang w:bidi="ar"/>
                    </w:rPr>
                  </w:pPr>
                  <w:r>
                    <w:rPr>
                      <w:rFonts w:hint="eastAsia"/>
                      <w:lang w:bidi="ar"/>
                    </w:rPr>
                    <w:t>配电柜</w:t>
                  </w:r>
                </w:p>
              </w:tc>
              <w:tc>
                <w:tcPr>
                  <w:tcW w:w="1137" w:type="pct"/>
                  <w:shd w:val="clear" w:color="auto" w:fill="auto"/>
                  <w:vAlign w:val="center"/>
                </w:tcPr>
                <w:p>
                  <w:pPr>
                    <w:pStyle w:val="215"/>
                    <w:rPr>
                      <w:lang w:bidi="ar"/>
                    </w:rPr>
                  </w:pPr>
                  <w:r>
                    <w:rPr>
                      <w:rFonts w:hint="eastAsia"/>
                      <w:lang w:bidi="ar"/>
                    </w:rPr>
                    <w:t>/</w:t>
                  </w:r>
                </w:p>
              </w:tc>
              <w:tc>
                <w:tcPr>
                  <w:tcW w:w="416" w:type="pct"/>
                  <w:shd w:val="clear" w:color="auto" w:fill="auto"/>
                  <w:vAlign w:val="center"/>
                </w:tcPr>
                <w:p>
                  <w:pPr>
                    <w:pStyle w:val="215"/>
                    <w:rPr>
                      <w:lang w:bidi="ar"/>
                    </w:rPr>
                  </w:pPr>
                  <w:r>
                    <w:rPr>
                      <w:rFonts w:hint="eastAsia"/>
                      <w:lang w:bidi="ar"/>
                    </w:rPr>
                    <w:t>台</w:t>
                  </w:r>
                </w:p>
              </w:tc>
              <w:tc>
                <w:tcPr>
                  <w:tcW w:w="360" w:type="pct"/>
                  <w:shd w:val="clear" w:color="auto" w:fill="auto"/>
                  <w:vAlign w:val="center"/>
                </w:tcPr>
                <w:p>
                  <w:pPr>
                    <w:pStyle w:val="215"/>
                    <w:rPr>
                      <w:lang w:bidi="ar"/>
                    </w:rPr>
                  </w:pPr>
                  <w:r>
                    <w:rPr>
                      <w:rFonts w:hint="eastAsia"/>
                      <w:lang w:bidi="ar"/>
                    </w:rPr>
                    <w:t>若干</w:t>
                  </w:r>
                </w:p>
              </w:tc>
              <w:tc>
                <w:tcPr>
                  <w:tcW w:w="1310" w:type="pct"/>
                  <w:shd w:val="clear" w:color="auto" w:fill="auto"/>
                  <w:vAlign w:val="center"/>
                </w:tcPr>
                <w:p>
                  <w:pPr>
                    <w:pStyle w:val="215"/>
                    <w:rPr>
                      <w:lang w:bidi="ar"/>
                    </w:rPr>
                  </w:pPr>
                </w:p>
              </w:tc>
            </w:tr>
            <w:bookmarkEnd w:id="9"/>
          </w:tbl>
          <w:p>
            <w:pPr>
              <w:autoSpaceDE w:val="0"/>
              <w:autoSpaceDN w:val="0"/>
              <w:adjustRightInd w:val="0"/>
              <w:snapToGrid w:val="0"/>
              <w:spacing w:before="120" w:beforeLines="50" w:line="360" w:lineRule="auto"/>
              <w:ind w:left="527"/>
              <w:jc w:val="left"/>
              <w:rPr>
                <w:b/>
                <w:kern w:val="0"/>
                <w:szCs w:val="22"/>
                <w:lang w:val="zh-CN" w:bidi="zh-CN"/>
              </w:rPr>
            </w:pPr>
            <w:r>
              <w:rPr>
                <w:rFonts w:hint="eastAsia"/>
                <w:b/>
                <w:kern w:val="0"/>
                <w:szCs w:val="22"/>
                <w:lang w:val="zh-CN" w:bidi="zh-CN"/>
              </w:rPr>
              <w:t>6、现有工程给排水</w:t>
            </w:r>
          </w:p>
          <w:p>
            <w:pPr>
              <w:adjustRightInd w:val="0"/>
              <w:snapToGrid w:val="0"/>
              <w:spacing w:line="360" w:lineRule="auto"/>
              <w:ind w:firstLine="480" w:firstLineChars="200"/>
              <w:rPr>
                <w:lang w:val="en-GB"/>
              </w:rPr>
            </w:pPr>
            <w:r>
              <w:rPr>
                <w:rFonts w:hint="eastAsia"/>
                <w:lang w:val="en-GB"/>
              </w:rPr>
              <w:t>企业现有工程用水主要为制胶用水和生活用水。</w:t>
            </w:r>
          </w:p>
          <w:p>
            <w:pPr>
              <w:adjustRightInd w:val="0"/>
              <w:snapToGrid w:val="0"/>
              <w:spacing w:line="360" w:lineRule="auto"/>
              <w:ind w:firstLine="480" w:firstLineChars="200"/>
              <w:rPr>
                <w:lang w:val="en-GB"/>
              </w:rPr>
            </w:pPr>
            <w:r>
              <w:rPr>
                <w:rFonts w:hint="eastAsia"/>
                <w:lang w:val="en-GB"/>
              </w:rPr>
              <w:t>①制胶用水：根据企业提供资料，项目制胶用水水量约为</w:t>
            </w:r>
            <w:r>
              <w:rPr>
                <w:lang w:val="en-GB"/>
              </w:rPr>
              <w:t>500</w:t>
            </w:r>
            <w:r>
              <w:rPr>
                <w:rFonts w:hint="eastAsia"/>
                <w:lang w:val="en-GB"/>
              </w:rPr>
              <w:t>m</w:t>
            </w:r>
            <w:r>
              <w:rPr>
                <w:vertAlign w:val="superscript"/>
                <w:lang w:val="en-GB"/>
              </w:rPr>
              <w:t>3</w:t>
            </w:r>
            <w:r>
              <w:rPr>
                <w:rFonts w:hint="eastAsia"/>
                <w:lang w:val="en-GB"/>
              </w:rPr>
              <w:t>/a。</w:t>
            </w:r>
          </w:p>
          <w:p>
            <w:pPr>
              <w:adjustRightInd w:val="0"/>
              <w:snapToGrid w:val="0"/>
              <w:spacing w:line="360" w:lineRule="auto"/>
              <w:ind w:firstLine="480" w:firstLineChars="200"/>
              <w:rPr>
                <w:lang w:val="en-GB"/>
              </w:rPr>
            </w:pPr>
            <w:r>
              <w:rPr>
                <w:rFonts w:hint="eastAsia"/>
                <w:lang w:val="en-GB"/>
              </w:rPr>
              <w:t>②生活用水：根据企业提供资料，项目生活用水为</w:t>
            </w:r>
            <w:r>
              <w:rPr>
                <w:lang w:val="en-GB"/>
              </w:rPr>
              <w:t>2</w:t>
            </w:r>
            <w:r>
              <w:rPr>
                <w:rFonts w:hint="eastAsia"/>
                <w:lang w:val="en-GB"/>
              </w:rPr>
              <w:t>.</w:t>
            </w:r>
            <w:r>
              <w:rPr>
                <w:lang w:val="en-GB"/>
              </w:rPr>
              <w:t>5</w:t>
            </w:r>
            <w:r>
              <w:rPr>
                <w:rFonts w:hint="eastAsia"/>
                <w:lang w:val="en-GB"/>
              </w:rPr>
              <w:t>m</w:t>
            </w:r>
            <w:r>
              <w:rPr>
                <w:vertAlign w:val="superscript"/>
                <w:lang w:val="en-GB"/>
              </w:rPr>
              <w:t>3</w:t>
            </w:r>
            <w:r>
              <w:rPr>
                <w:rFonts w:hint="eastAsia"/>
                <w:lang w:val="en-GB"/>
              </w:rPr>
              <w:t>/d，年用水量约</w:t>
            </w:r>
            <w:r>
              <w:rPr>
                <w:lang w:val="en-GB"/>
              </w:rPr>
              <w:t>750</w:t>
            </w:r>
            <w:r>
              <w:rPr>
                <w:rFonts w:hint="eastAsia"/>
                <w:lang w:val="en-GB"/>
              </w:rPr>
              <w:t xml:space="preserve"> m</w:t>
            </w:r>
            <w:r>
              <w:rPr>
                <w:vertAlign w:val="superscript"/>
                <w:lang w:val="en-GB"/>
              </w:rPr>
              <w:t>3</w:t>
            </w:r>
            <w:r>
              <w:rPr>
                <w:rFonts w:hint="eastAsia"/>
                <w:lang w:val="en-GB"/>
              </w:rPr>
              <w:t>/a。</w:t>
            </w:r>
          </w:p>
          <w:p>
            <w:pPr>
              <w:adjustRightInd w:val="0"/>
              <w:snapToGrid w:val="0"/>
              <w:spacing w:line="360" w:lineRule="auto"/>
              <w:ind w:firstLine="480" w:firstLineChars="200"/>
              <w:rPr>
                <w:rFonts w:hAnsi="宋体"/>
                <w:lang w:val="en-GB"/>
              </w:rPr>
            </w:pPr>
            <w:r>
              <w:rPr>
                <w:rFonts w:hint="eastAsia"/>
                <w:lang w:val="en-GB"/>
              </w:rPr>
              <w:t>排水：</w:t>
            </w:r>
            <w:r>
              <w:rPr>
                <w:rFonts w:hint="eastAsia"/>
              </w:rPr>
              <w:t>职工生活污水年产生量约</w:t>
            </w:r>
            <w:r>
              <w:rPr>
                <w:lang w:val="en-GB"/>
              </w:rPr>
              <w:t>600</w:t>
            </w:r>
            <w:r>
              <w:rPr>
                <w:rFonts w:hint="eastAsia"/>
                <w:lang w:val="en-GB"/>
              </w:rPr>
              <w:t>m</w:t>
            </w:r>
            <w:r>
              <w:rPr>
                <w:vertAlign w:val="superscript"/>
                <w:lang w:val="en-GB"/>
              </w:rPr>
              <w:t>3</w:t>
            </w:r>
            <w:r>
              <w:rPr>
                <w:rFonts w:hint="eastAsia"/>
                <w:lang w:val="en-GB"/>
              </w:rPr>
              <w:t>/a</w:t>
            </w:r>
            <w:r>
              <w:rPr>
                <w:rFonts w:hint="eastAsia"/>
              </w:rPr>
              <w:t>。</w:t>
            </w:r>
            <w:r>
              <w:rPr>
                <w:rFonts w:hint="eastAsia"/>
                <w:lang w:val="en-GB"/>
              </w:rPr>
              <w:t>经化粪池预处理后出水水质氨氮满足《污水排入城镇下水道水质标准》（GB/T31962-2015）B 等级标准，其他指标满足《污水综合排放标准》（GB8978-1996）三级标准后排入昌吉高新海天污水处理站深度处理。</w:t>
            </w:r>
          </w:p>
          <w:p>
            <w:pPr>
              <w:autoSpaceDE w:val="0"/>
              <w:autoSpaceDN w:val="0"/>
              <w:spacing w:before="80"/>
              <w:ind w:left="527"/>
              <w:jc w:val="left"/>
              <w:rPr>
                <w:b/>
                <w:bCs/>
                <w:kern w:val="0"/>
                <w:szCs w:val="22"/>
                <w:lang w:val="zh-CN" w:bidi="zh-CN"/>
              </w:rPr>
            </w:pPr>
            <w:r>
              <w:rPr>
                <w:b/>
                <w:bCs/>
                <w:kern w:val="0"/>
                <w:szCs w:val="22"/>
                <w:lang w:val="zh-CN" w:bidi="zh-CN"/>
              </w:rPr>
              <w:t>二、现有工程简介</w:t>
            </w:r>
          </w:p>
          <w:p>
            <w:pPr>
              <w:snapToGrid w:val="0"/>
              <w:spacing w:before="120" w:beforeLines="50" w:line="360" w:lineRule="auto"/>
              <w:ind w:firstLine="602" w:firstLineChars="250"/>
              <w:rPr>
                <w:b/>
                <w:bCs/>
                <w:kern w:val="0"/>
              </w:rPr>
            </w:pPr>
            <w:r>
              <w:rPr>
                <w:b/>
                <w:bCs/>
                <w:kern w:val="0"/>
              </w:rPr>
              <w:t xml:space="preserve">1、工艺流程及产污环节： </w:t>
            </w:r>
          </w:p>
          <w:p>
            <w:pPr>
              <w:snapToGrid w:val="0"/>
              <w:spacing w:before="120" w:beforeLines="50" w:line="360" w:lineRule="auto"/>
              <w:ind w:firstLine="602" w:firstLineChars="250"/>
              <w:rPr>
                <w:kern w:val="0"/>
              </w:rPr>
            </w:pPr>
            <w:r>
              <w:rPr>
                <w:rFonts w:hint="eastAsia"/>
                <w:b/>
                <w:bCs/>
                <w:kern w:val="0"/>
              </w:rPr>
              <w:t>（1）刨花板生产线</w:t>
            </w:r>
          </w:p>
          <w:p>
            <w:pPr>
              <w:snapToGrid w:val="0"/>
              <w:spacing w:line="360" w:lineRule="auto"/>
              <w:jc w:val="center"/>
              <w:rPr>
                <w:kern w:val="0"/>
              </w:rPr>
            </w:pPr>
            <w:r>
              <w:rPr>
                <w:kern w:val="0"/>
              </w:rPr>
              <w:drawing>
                <wp:inline distT="0" distB="0" distL="0" distR="0">
                  <wp:extent cx="4192905" cy="4951730"/>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18401" cy="4981231"/>
                          </a:xfrm>
                          <a:prstGeom prst="rect">
                            <a:avLst/>
                          </a:prstGeom>
                          <a:noFill/>
                        </pic:spPr>
                      </pic:pic>
                    </a:graphicData>
                  </a:graphic>
                </wp:inline>
              </w:drawing>
            </w:r>
          </w:p>
          <w:p>
            <w:pPr>
              <w:snapToGrid w:val="0"/>
              <w:spacing w:line="360" w:lineRule="auto"/>
              <w:ind w:firstLine="480"/>
              <w:jc w:val="center"/>
              <w:rPr>
                <w:b/>
                <w:bCs/>
                <w:kern w:val="0"/>
                <w:sz w:val="21"/>
                <w:szCs w:val="21"/>
              </w:rPr>
            </w:pPr>
            <w:r>
              <w:rPr>
                <w:b/>
                <w:bCs/>
                <w:kern w:val="0"/>
                <w:sz w:val="21"/>
                <w:szCs w:val="21"/>
              </w:rPr>
              <w:t>图2</w:t>
            </w:r>
            <w:r>
              <w:rPr>
                <w:rFonts w:hint="eastAsia"/>
                <w:b/>
                <w:bCs/>
                <w:kern w:val="0"/>
                <w:sz w:val="21"/>
                <w:szCs w:val="21"/>
              </w:rPr>
              <w:t>-</w:t>
            </w:r>
            <w:r>
              <w:rPr>
                <w:b/>
                <w:bCs/>
                <w:kern w:val="0"/>
                <w:sz w:val="21"/>
                <w:szCs w:val="21"/>
              </w:rPr>
              <w:t xml:space="preserve">3  </w:t>
            </w:r>
            <w:r>
              <w:rPr>
                <w:rFonts w:hint="eastAsia"/>
                <w:b/>
                <w:bCs/>
                <w:kern w:val="0"/>
                <w:sz w:val="21"/>
                <w:szCs w:val="21"/>
              </w:rPr>
              <w:t>刨花板</w:t>
            </w:r>
            <w:r>
              <w:rPr>
                <w:b/>
                <w:bCs/>
                <w:kern w:val="0"/>
                <w:sz w:val="21"/>
                <w:szCs w:val="21"/>
              </w:rPr>
              <w:t>生产工艺</w:t>
            </w:r>
          </w:p>
          <w:p>
            <w:pPr>
              <w:adjustRightInd w:val="0"/>
              <w:snapToGrid w:val="0"/>
              <w:spacing w:line="360" w:lineRule="auto"/>
              <w:ind w:firstLine="600" w:firstLineChars="250"/>
              <w:rPr>
                <w:kern w:val="0"/>
              </w:rPr>
            </w:pPr>
            <w:r>
              <w:rPr>
                <w:rFonts w:hint="eastAsia"/>
                <w:kern w:val="0"/>
              </w:rPr>
              <w:t xml:space="preserve">刨花板是将小径木、枝桠木、木材加工剩余物等木质原料或棉桔杆等非木质原料，经拌胶后压制而成的一种人造板，刨花板设备根据刨花板生产工艺分削片机、刨片机、干燥机、预压机、横截机、热压机、锯边机、砂光机、贴面机等。 </w:t>
            </w:r>
          </w:p>
          <w:p>
            <w:pPr>
              <w:adjustRightInd w:val="0"/>
              <w:snapToGrid w:val="0"/>
              <w:spacing w:line="360" w:lineRule="auto"/>
              <w:ind w:firstLine="600" w:firstLineChars="250"/>
              <w:rPr>
                <w:kern w:val="0"/>
              </w:rPr>
            </w:pPr>
            <w:r>
              <w:rPr>
                <w:rFonts w:hint="eastAsia"/>
                <w:kern w:val="0"/>
              </w:rPr>
              <w:t xml:space="preserve">刨花板生产工艺分为刨花制备工段、干燥筛分工段、调供胶工段、施胶工段、成型热压工段、锯边工段、砂光工段、贴面工段、电控系统等。 </w:t>
            </w:r>
          </w:p>
          <w:p>
            <w:pPr>
              <w:adjustRightInd w:val="0"/>
              <w:snapToGrid w:val="0"/>
              <w:spacing w:line="360" w:lineRule="auto"/>
              <w:ind w:firstLine="600" w:firstLineChars="250"/>
              <w:rPr>
                <w:kern w:val="0"/>
              </w:rPr>
            </w:pPr>
            <w:r>
              <w:rPr>
                <w:rFonts w:hint="eastAsia"/>
                <w:kern w:val="0"/>
              </w:rPr>
              <w:t xml:space="preserve">①刨花制备工段 </w:t>
            </w:r>
          </w:p>
          <w:p>
            <w:pPr>
              <w:adjustRightInd w:val="0"/>
              <w:snapToGrid w:val="0"/>
              <w:spacing w:line="360" w:lineRule="auto"/>
              <w:ind w:firstLine="600" w:firstLineChars="250"/>
              <w:rPr>
                <w:kern w:val="0"/>
              </w:rPr>
            </w:pPr>
            <w:r>
              <w:rPr>
                <w:rFonts w:hint="eastAsia"/>
                <w:kern w:val="0"/>
              </w:rPr>
              <w:t>木材原料运至厂内，按树种分别堆放。木材、枝丫等短小材，送鼓式削片机的上料皮带运输机。由削片机削成的合格木片，经出料皮带运输机和斗式提升机送到木片料仓作中间贮存。木片再经环式刨片机制成合格刨花，并风送到湿刨花料仓。</w:t>
            </w:r>
          </w:p>
          <w:p>
            <w:pPr>
              <w:adjustRightInd w:val="0"/>
              <w:snapToGrid w:val="0"/>
              <w:spacing w:line="360" w:lineRule="auto"/>
              <w:ind w:firstLine="600" w:firstLineChars="250"/>
              <w:rPr>
                <w:kern w:val="0"/>
              </w:rPr>
            </w:pPr>
            <w:r>
              <w:rPr>
                <w:rFonts w:hint="eastAsia"/>
                <w:kern w:val="0"/>
              </w:rPr>
              <w:t xml:space="preserve">②干燥筛分工段 </w:t>
            </w:r>
          </w:p>
          <w:p>
            <w:pPr>
              <w:adjustRightInd w:val="0"/>
              <w:snapToGrid w:val="0"/>
              <w:spacing w:line="360" w:lineRule="auto"/>
              <w:ind w:firstLine="600" w:firstLineChars="250"/>
              <w:rPr>
                <w:kern w:val="0"/>
              </w:rPr>
            </w:pPr>
            <w:r>
              <w:rPr>
                <w:rFonts w:hint="eastAsia"/>
                <w:kern w:val="0"/>
              </w:rPr>
              <w:t xml:space="preserve">湿料仓定量输出的刨花，经螺旋运输机送入转子式干燥机。干燥后的刨花再由螺旋运输机送往筛选机进行筛选。干燥机的出料螺旋运输机上设火花探测装置，一旦报警，干物料可自动排出系统外。经筛选出的粗刨花进入再碎机再次加工，并与筛出的中粗刨花一起，由螺旋运输机送往气流分选机进行分选。筛选出的合格细料风送到表层刨花料仓。气流分选机分选出的合格料风送至芯层刨花料仓作中间贮存。分选出的粗料进入打磨机再碎，然后与筛出的细刨花合并，风送至表层刨花料仓。根据生产不同板厚度表、芯层刨花的不同比例，可定量转送部分中粗刨花到打磨机，制成表层刨花。 </w:t>
            </w:r>
          </w:p>
          <w:p>
            <w:pPr>
              <w:adjustRightInd w:val="0"/>
              <w:snapToGrid w:val="0"/>
              <w:spacing w:line="360" w:lineRule="auto"/>
              <w:ind w:firstLine="600" w:firstLineChars="250"/>
              <w:rPr>
                <w:kern w:val="0"/>
              </w:rPr>
            </w:pPr>
            <w:r>
              <w:rPr>
                <w:rFonts w:hint="eastAsia"/>
                <w:kern w:val="0"/>
              </w:rPr>
              <w:t xml:space="preserve">③调供胶工段 </w:t>
            </w:r>
          </w:p>
          <w:p>
            <w:pPr>
              <w:adjustRightInd w:val="0"/>
              <w:snapToGrid w:val="0"/>
              <w:spacing w:line="360" w:lineRule="auto"/>
              <w:ind w:firstLine="600" w:firstLineChars="250"/>
              <w:rPr>
                <w:kern w:val="0"/>
              </w:rPr>
            </w:pPr>
            <w:r>
              <w:rPr>
                <w:rFonts w:hint="eastAsia"/>
                <w:kern w:val="0"/>
              </w:rPr>
              <w:t>包括石蜡乳液及固化剂溶液的制备和输送，添加剂的贮存和混合胶制备及施加系统。表、芯层混合胶在集中式调胶机中配置，混合胶的制备和施加系统设</w:t>
            </w:r>
            <w:r>
              <w:rPr>
                <w:kern w:val="0"/>
              </w:rPr>
              <w:t>PLC</w:t>
            </w:r>
            <w:r>
              <w:rPr>
                <w:rFonts w:hint="eastAsia"/>
                <w:kern w:val="0"/>
              </w:rPr>
              <w:t xml:space="preserve">程序控制，按工艺规程实行自动计量、连续配置、定量施加，并可进行调节。 </w:t>
            </w:r>
          </w:p>
          <w:p>
            <w:pPr>
              <w:adjustRightInd w:val="0"/>
              <w:snapToGrid w:val="0"/>
              <w:spacing w:line="360" w:lineRule="auto"/>
              <w:ind w:firstLine="600" w:firstLineChars="250"/>
              <w:rPr>
                <w:kern w:val="0"/>
              </w:rPr>
            </w:pPr>
            <w:r>
              <w:rPr>
                <w:rFonts w:hint="eastAsia"/>
                <w:kern w:val="0"/>
              </w:rPr>
              <w:t xml:space="preserve">④施胶工段 </w:t>
            </w:r>
          </w:p>
          <w:p>
            <w:pPr>
              <w:adjustRightInd w:val="0"/>
              <w:snapToGrid w:val="0"/>
              <w:spacing w:line="360" w:lineRule="auto"/>
              <w:ind w:firstLine="600" w:firstLineChars="250"/>
              <w:rPr>
                <w:kern w:val="0"/>
              </w:rPr>
            </w:pPr>
            <w:r>
              <w:rPr>
                <w:rFonts w:hint="eastAsia"/>
                <w:kern w:val="0"/>
              </w:rPr>
              <w:t xml:space="preserve">表、芯层刨花分别施胶。刨花由料仓定量输出，经过振动出料器，并经计量装置连续称重后，均衡进入环式拌胶机。拌胶机使进入的刨花与雾化的胶液充分拌和，均匀着胶，按刨花输送量的变化自动调节施胶量，以保持工艺设定的胶料比恒定。 </w:t>
            </w:r>
          </w:p>
          <w:p>
            <w:pPr>
              <w:adjustRightInd w:val="0"/>
              <w:snapToGrid w:val="0"/>
              <w:spacing w:line="360" w:lineRule="auto"/>
              <w:ind w:firstLine="600" w:firstLineChars="250"/>
              <w:rPr>
                <w:kern w:val="0"/>
              </w:rPr>
            </w:pPr>
            <w:r>
              <w:rPr>
                <w:rFonts w:hint="eastAsia"/>
                <w:kern w:val="0"/>
              </w:rPr>
              <w:t xml:space="preserve">⑤成型热压工段 </w:t>
            </w:r>
          </w:p>
          <w:p>
            <w:pPr>
              <w:adjustRightInd w:val="0"/>
              <w:snapToGrid w:val="0"/>
              <w:spacing w:line="360" w:lineRule="auto"/>
              <w:ind w:firstLine="600" w:firstLineChars="250"/>
              <w:rPr>
                <w:kern w:val="0"/>
              </w:rPr>
            </w:pPr>
            <w:r>
              <w:rPr>
                <w:rFonts w:hint="eastAsia"/>
                <w:kern w:val="0"/>
              </w:rPr>
              <w:t xml:space="preserve">施胶后的表、芯层刨花由皮带运输机送往移动式气流铺装机，两组相向的气流喷嘴将刨花吹出，在成型运输机的网带上，形成上、下表面细密均匀、具渐变结构的刨花板坯。成型的刨花板坯由横截锯截成所需长度，碎料经风送系统送回铺装机。单层热压机完成热压后，成型运输机同步将毛板运出压机、板坯送入压机，同时铺装机亦同向快速移动，到位后开始新一块板坯的铺装。不合格的板坯可经回收装置送回湿料仓再利用。 </w:t>
            </w:r>
          </w:p>
          <w:p>
            <w:pPr>
              <w:adjustRightInd w:val="0"/>
              <w:snapToGrid w:val="0"/>
              <w:spacing w:line="360" w:lineRule="auto"/>
              <w:ind w:firstLine="600" w:firstLineChars="250"/>
              <w:rPr>
                <w:kern w:val="0"/>
              </w:rPr>
            </w:pPr>
            <w:r>
              <w:rPr>
                <w:rFonts w:hint="eastAsia"/>
                <w:kern w:val="0"/>
              </w:rPr>
              <w:t xml:space="preserve">⑥锯边工段 </w:t>
            </w:r>
          </w:p>
          <w:p>
            <w:pPr>
              <w:adjustRightInd w:val="0"/>
              <w:snapToGrid w:val="0"/>
              <w:spacing w:line="360" w:lineRule="auto"/>
              <w:ind w:firstLine="600" w:firstLineChars="250"/>
              <w:rPr>
                <w:kern w:val="0"/>
              </w:rPr>
            </w:pPr>
            <w:r>
              <w:rPr>
                <w:rFonts w:hint="eastAsia"/>
                <w:kern w:val="0"/>
              </w:rPr>
              <w:t xml:space="preserve">压制后的毛板进入带秤的出板棍筒运输机，对中并称重。经对中并称重的毛板进入纵、横锯边机，将毛板锯成齐边板。齐边碎料也可送回湿料仓。齐边板由辊筒运输机经堆垛对中机、液压升降台堆垛后送入叉车辊台，并由叉车送往中间贮存。 </w:t>
            </w:r>
          </w:p>
          <w:p>
            <w:pPr>
              <w:adjustRightInd w:val="0"/>
              <w:snapToGrid w:val="0"/>
              <w:spacing w:line="360" w:lineRule="auto"/>
              <w:ind w:firstLine="600" w:firstLineChars="250"/>
              <w:rPr>
                <w:kern w:val="0"/>
              </w:rPr>
            </w:pPr>
            <w:r>
              <w:rPr>
                <w:rFonts w:hint="eastAsia"/>
                <w:kern w:val="0"/>
              </w:rPr>
              <w:t xml:space="preserve">⑦砂光工段 </w:t>
            </w:r>
          </w:p>
          <w:p>
            <w:pPr>
              <w:adjustRightInd w:val="0"/>
              <w:snapToGrid w:val="0"/>
              <w:spacing w:line="360" w:lineRule="auto"/>
              <w:ind w:firstLine="600" w:firstLineChars="250"/>
              <w:rPr>
                <w:kern w:val="0"/>
              </w:rPr>
            </w:pPr>
            <w:r>
              <w:rPr>
                <w:rFonts w:hint="eastAsia"/>
                <w:kern w:val="0"/>
              </w:rPr>
              <w:t xml:space="preserve">经存放的板再送砂光系统。砂光系统由液压升降台、辊筒运输机、宽带砂光机等组成。砂光后的成品板经检验、分等后送成品库。 </w:t>
            </w:r>
          </w:p>
          <w:p>
            <w:pPr>
              <w:adjustRightInd w:val="0"/>
              <w:snapToGrid w:val="0"/>
              <w:spacing w:line="360" w:lineRule="auto"/>
              <w:ind w:firstLine="600" w:firstLineChars="250"/>
              <w:rPr>
                <w:kern w:val="0"/>
              </w:rPr>
            </w:pPr>
            <w:r>
              <w:rPr>
                <w:rFonts w:hint="eastAsia"/>
                <w:kern w:val="0"/>
              </w:rPr>
              <w:t xml:space="preserve">⑧贴面工段 </w:t>
            </w:r>
          </w:p>
          <w:p>
            <w:pPr>
              <w:adjustRightInd w:val="0"/>
              <w:snapToGrid w:val="0"/>
              <w:spacing w:line="360" w:lineRule="auto"/>
              <w:ind w:firstLine="600" w:firstLineChars="250"/>
              <w:rPr>
                <w:b/>
                <w:bCs/>
                <w:kern w:val="0"/>
              </w:rPr>
            </w:pPr>
            <w:r>
              <w:rPr>
                <w:rFonts w:hint="eastAsia"/>
                <w:kern w:val="0"/>
              </w:rPr>
              <w:t xml:space="preserve">将计划贴面的成品刨花板、装饰纸码放整齐，调整热压机温度，并确认压机内无杂物。用一张废基材进行预热，预热完成后，将基材放至操作台上，表面清理后将装饰纸卷起平铺在版面上，送入压机内。热压完成后放至另一面操作台上，进行第二面表面清理，然后铺纸热压，待到时间后出板、刮边、检查各方面质量，码放整齐。如有质量不合格另行码放。 </w:t>
            </w:r>
          </w:p>
          <w:p>
            <w:pPr>
              <w:adjustRightInd w:val="0"/>
              <w:snapToGrid w:val="0"/>
              <w:spacing w:line="360" w:lineRule="auto"/>
              <w:ind w:firstLine="602" w:firstLineChars="250"/>
              <w:rPr>
                <w:b/>
                <w:bCs/>
                <w:kern w:val="0"/>
              </w:rPr>
            </w:pPr>
            <w:r>
              <w:rPr>
                <w:rFonts w:hint="eastAsia"/>
                <w:b/>
                <w:bCs/>
                <w:kern w:val="0"/>
              </w:rPr>
              <w:t>（2）脲醛树脂胶生产线</w:t>
            </w:r>
          </w:p>
          <w:p>
            <w:pPr>
              <w:adjustRightInd w:val="0"/>
              <w:snapToGrid w:val="0"/>
              <w:spacing w:line="360" w:lineRule="auto"/>
              <w:ind w:firstLine="600" w:firstLineChars="250"/>
              <w:jc w:val="center"/>
              <w:rPr>
                <w:b/>
                <w:bCs/>
                <w:kern w:val="0"/>
              </w:rPr>
            </w:pPr>
            <w:r>
              <w:drawing>
                <wp:inline distT="0" distB="0" distL="0" distR="0">
                  <wp:extent cx="2834640" cy="2933065"/>
                  <wp:effectExtent l="0" t="0" r="381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rcRect r="26006"/>
                          <a:stretch>
                            <a:fillRect/>
                          </a:stretch>
                        </pic:blipFill>
                        <pic:spPr>
                          <a:xfrm>
                            <a:off x="0" y="0"/>
                            <a:ext cx="2849499" cy="2948440"/>
                          </a:xfrm>
                          <a:prstGeom prst="rect">
                            <a:avLst/>
                          </a:prstGeom>
                          <a:ln>
                            <a:noFill/>
                          </a:ln>
                        </pic:spPr>
                      </pic:pic>
                    </a:graphicData>
                  </a:graphic>
                </wp:inline>
              </w:drawing>
            </w:r>
          </w:p>
          <w:p>
            <w:pPr>
              <w:pStyle w:val="100"/>
            </w:pPr>
            <w:r>
              <w:rPr>
                <w:rFonts w:hint="eastAsia"/>
              </w:rPr>
              <w:t>表2-</w:t>
            </w:r>
            <w:r>
              <w:t>4</w:t>
            </w:r>
            <w:r>
              <w:rPr>
                <w:rFonts w:hint="eastAsia"/>
              </w:rPr>
              <w:t xml:space="preserve"> </w:t>
            </w:r>
            <w:r>
              <w:t xml:space="preserve"> </w:t>
            </w:r>
            <w:r>
              <w:rPr>
                <w:rFonts w:hint="eastAsia"/>
              </w:rPr>
              <w:t>脲醛树脂胶工艺流程及产排污环节</w:t>
            </w:r>
          </w:p>
          <w:p>
            <w:pPr>
              <w:adjustRightInd w:val="0"/>
              <w:snapToGrid w:val="0"/>
              <w:spacing w:line="360" w:lineRule="auto"/>
              <w:ind w:firstLine="600" w:firstLineChars="250"/>
              <w:rPr>
                <w:kern w:val="0"/>
              </w:rPr>
            </w:pPr>
            <w:r>
              <w:rPr>
                <w:rFonts w:hint="eastAsia"/>
                <w:kern w:val="0"/>
              </w:rPr>
              <w:t>①把37%含量的甲醛溶液打入反应釜，开搅拌，开汽升温，加入PVA;</w:t>
            </w:r>
          </w:p>
          <w:p>
            <w:pPr>
              <w:adjustRightInd w:val="0"/>
              <w:snapToGrid w:val="0"/>
              <w:spacing w:line="360" w:lineRule="auto"/>
              <w:ind w:firstLine="600" w:firstLineChars="250"/>
              <w:rPr>
                <w:kern w:val="0"/>
              </w:rPr>
            </w:pPr>
            <w:r>
              <w:rPr>
                <w:rFonts w:hint="eastAsia"/>
                <w:kern w:val="0"/>
              </w:rPr>
              <w:t>②升温至40度,等PVA溶解，调 PH=8.5，加尿素U1，加助剂225公斤(9袋)；</w:t>
            </w:r>
          </w:p>
          <w:p>
            <w:pPr>
              <w:adjustRightInd w:val="0"/>
              <w:snapToGrid w:val="0"/>
              <w:spacing w:line="360" w:lineRule="auto"/>
              <w:ind w:firstLine="600" w:firstLineChars="250"/>
              <w:rPr>
                <w:kern w:val="0"/>
              </w:rPr>
            </w:pPr>
            <w:r>
              <w:rPr>
                <w:rFonts w:hint="eastAsia"/>
                <w:kern w:val="0"/>
              </w:rPr>
              <w:t>③缓慢升温至85-86度,保温30分钟，PH=6.5-7.0；</w:t>
            </w:r>
          </w:p>
          <w:p>
            <w:pPr>
              <w:adjustRightInd w:val="0"/>
              <w:snapToGrid w:val="0"/>
              <w:spacing w:line="360" w:lineRule="auto"/>
              <w:ind w:firstLine="600" w:firstLineChars="250"/>
              <w:rPr>
                <w:kern w:val="0"/>
              </w:rPr>
            </w:pPr>
            <w:r>
              <w:rPr>
                <w:rFonts w:hint="eastAsia"/>
                <w:kern w:val="0"/>
              </w:rPr>
              <w:t>④降温到85-86度，调酸，调PH=4.8左右，调酸时间20分钟左右，反应温度控制在92-94度；</w:t>
            </w:r>
          </w:p>
          <w:p>
            <w:pPr>
              <w:adjustRightInd w:val="0"/>
              <w:snapToGrid w:val="0"/>
              <w:spacing w:line="360" w:lineRule="auto"/>
              <w:ind w:firstLine="600" w:firstLineChars="250"/>
              <w:rPr>
                <w:kern w:val="0"/>
              </w:rPr>
            </w:pPr>
            <w:r>
              <w:rPr>
                <w:rFonts w:hint="eastAsia"/>
                <w:kern w:val="0"/>
              </w:rPr>
              <w:t>⑤调酸好后，反应开始计时，每10分钟测一次粘度,当粘度达到19秒时(涂4杯热胶粘度)，此次反应时间控制在60-80分钟，加碱调PH=6.2左右，加尿素U2,继续反应，温度在85-90度，当粘度到达20秒后(热胶粘度)，此次反应时间控制在20-30分钟，调PH=7.5，降温到82度，加尿素U3，保温30分钟；</w:t>
            </w:r>
          </w:p>
          <w:p>
            <w:pPr>
              <w:adjustRightInd w:val="0"/>
              <w:snapToGrid w:val="0"/>
              <w:spacing w:line="360" w:lineRule="auto"/>
              <w:ind w:firstLine="600" w:firstLineChars="250"/>
              <w:rPr>
                <w:kern w:val="0"/>
              </w:rPr>
            </w:pPr>
            <w:r>
              <w:rPr>
                <w:rFonts w:hint="eastAsia"/>
                <w:kern w:val="0"/>
              </w:rPr>
              <w:t>⑥保温时间到后，调PH=7.5，降温至70度，加U4和助剂150kg (6袋)，保温10分钟，降温到45度以下,调PH=8.0左右，取样，放胶。；</w:t>
            </w:r>
          </w:p>
          <w:p>
            <w:pPr>
              <w:adjustRightInd w:val="0"/>
              <w:snapToGrid w:val="0"/>
              <w:spacing w:line="360" w:lineRule="auto"/>
              <w:ind w:firstLine="602" w:firstLineChars="250"/>
              <w:rPr>
                <w:b/>
                <w:bCs/>
                <w:kern w:val="0"/>
              </w:rPr>
            </w:pPr>
            <w:r>
              <w:rPr>
                <w:b/>
                <w:bCs/>
                <w:kern w:val="0"/>
              </w:rPr>
              <w:t>2、污染物排放情况</w:t>
            </w:r>
          </w:p>
          <w:p>
            <w:pPr>
              <w:spacing w:line="360" w:lineRule="auto"/>
              <w:ind w:firstLine="480" w:firstLineChars="200"/>
              <w:rPr>
                <w:color w:val="FF0000"/>
              </w:rPr>
            </w:pPr>
            <w:r>
              <w:rPr>
                <w:rFonts w:hint="eastAsia"/>
                <w:color w:val="FF0000"/>
              </w:rPr>
              <w:t>（1）</w:t>
            </w:r>
            <w:r>
              <w:rPr>
                <w:color w:val="FF0000"/>
              </w:rPr>
              <w:t>废气</w:t>
            </w:r>
          </w:p>
          <w:p>
            <w:pPr>
              <w:spacing w:line="360" w:lineRule="auto"/>
              <w:ind w:firstLine="480" w:firstLineChars="200"/>
              <w:rPr>
                <w:color w:val="FF0000"/>
              </w:rPr>
            </w:pPr>
            <w:r>
              <w:rPr>
                <w:rFonts w:hint="eastAsia"/>
                <w:color w:val="FF0000"/>
              </w:rPr>
              <w:t>①燃气锅炉废气：主要成分为烟尘、SO</w:t>
            </w:r>
            <w:r>
              <w:rPr>
                <w:color w:val="FF0000"/>
                <w:vertAlign w:val="subscript"/>
              </w:rPr>
              <w:t>2</w:t>
            </w:r>
            <w:r>
              <w:rPr>
                <w:rFonts w:hint="eastAsia"/>
                <w:color w:val="FF0000"/>
              </w:rPr>
              <w:t>、NOx，燃气锅炉设置低氮燃烧装置，产生废气经排气筒DA001排放。根据企业提供例行监测数据，排气筒DA001颗粒物排放浓度为7.</w:t>
            </w:r>
            <w:r>
              <w:rPr>
                <w:color w:val="FF0000"/>
              </w:rPr>
              <w:t>8</w:t>
            </w:r>
            <w:r>
              <w:rPr>
                <w:rFonts w:hint="eastAsia"/>
                <w:color w:val="FF0000"/>
              </w:rPr>
              <w:t>-</w:t>
            </w:r>
            <w:r>
              <w:rPr>
                <w:color w:val="FF0000"/>
              </w:rPr>
              <w:t>9</w:t>
            </w:r>
            <w:r>
              <w:rPr>
                <w:rFonts w:hint="eastAsia"/>
                <w:color w:val="FF0000"/>
              </w:rPr>
              <w:t>.</w:t>
            </w:r>
            <w:r>
              <w:rPr>
                <w:color w:val="FF0000"/>
              </w:rPr>
              <w:t>4</w:t>
            </w:r>
            <w:r>
              <w:rPr>
                <w:rFonts w:hint="eastAsia"/>
                <w:color w:val="FF0000"/>
              </w:rPr>
              <w:t>mg</w:t>
            </w:r>
            <w:r>
              <w:rPr>
                <w:color w:val="FF0000"/>
              </w:rPr>
              <w:t>/</w:t>
            </w:r>
            <w:r>
              <w:rPr>
                <w:rFonts w:hint="eastAsia"/>
                <w:color w:val="FF0000"/>
              </w:rPr>
              <w:t>m</w:t>
            </w:r>
            <w:r>
              <w:rPr>
                <w:color w:val="FF0000"/>
                <w:vertAlign w:val="superscript"/>
              </w:rPr>
              <w:t>3</w:t>
            </w:r>
            <w:r>
              <w:rPr>
                <w:rFonts w:hint="eastAsia"/>
                <w:color w:val="FF0000"/>
              </w:rPr>
              <w:t>；SO</w:t>
            </w:r>
            <w:r>
              <w:rPr>
                <w:color w:val="FF0000"/>
                <w:vertAlign w:val="subscript"/>
              </w:rPr>
              <w:t>2</w:t>
            </w:r>
            <w:r>
              <w:rPr>
                <w:rFonts w:hint="eastAsia"/>
                <w:color w:val="FF0000"/>
              </w:rPr>
              <w:t>排放浓度1</w:t>
            </w:r>
            <w:r>
              <w:rPr>
                <w:color w:val="FF0000"/>
              </w:rPr>
              <w:t>1</w:t>
            </w:r>
            <w:r>
              <w:rPr>
                <w:rFonts w:hint="eastAsia"/>
                <w:color w:val="FF0000"/>
              </w:rPr>
              <w:t>-</w:t>
            </w:r>
            <w:r>
              <w:rPr>
                <w:color w:val="FF0000"/>
              </w:rPr>
              <w:t>13</w:t>
            </w:r>
            <w:r>
              <w:rPr>
                <w:rFonts w:hint="eastAsia"/>
                <w:color w:val="FF0000"/>
              </w:rPr>
              <w:t xml:space="preserve"> mg</w:t>
            </w:r>
            <w:r>
              <w:rPr>
                <w:color w:val="FF0000"/>
              </w:rPr>
              <w:t>/</w:t>
            </w:r>
            <w:r>
              <w:rPr>
                <w:rFonts w:hint="eastAsia"/>
                <w:color w:val="FF0000"/>
              </w:rPr>
              <w:t>m</w:t>
            </w:r>
            <w:r>
              <w:rPr>
                <w:color w:val="FF0000"/>
                <w:vertAlign w:val="superscript"/>
              </w:rPr>
              <w:t>3</w:t>
            </w:r>
            <w:r>
              <w:rPr>
                <w:rFonts w:hint="eastAsia"/>
                <w:color w:val="FF0000"/>
              </w:rPr>
              <w:t>；NOx排放浓度3</w:t>
            </w:r>
            <w:r>
              <w:rPr>
                <w:color w:val="FF0000"/>
              </w:rPr>
              <w:t>7</w:t>
            </w:r>
            <w:r>
              <w:rPr>
                <w:rFonts w:hint="eastAsia"/>
                <w:color w:val="FF0000"/>
              </w:rPr>
              <w:t>-</w:t>
            </w:r>
            <w:r>
              <w:rPr>
                <w:color w:val="FF0000"/>
              </w:rPr>
              <w:t>49</w:t>
            </w:r>
            <w:r>
              <w:rPr>
                <w:rFonts w:hint="eastAsia"/>
                <w:color w:val="FF0000"/>
              </w:rPr>
              <w:t xml:space="preserve"> mg</w:t>
            </w:r>
            <w:r>
              <w:rPr>
                <w:color w:val="FF0000"/>
              </w:rPr>
              <w:t>/</w:t>
            </w:r>
            <w:r>
              <w:rPr>
                <w:rFonts w:hint="eastAsia"/>
                <w:color w:val="FF0000"/>
              </w:rPr>
              <w:t>m</w:t>
            </w:r>
            <w:r>
              <w:rPr>
                <w:color w:val="FF0000"/>
                <w:vertAlign w:val="superscript"/>
              </w:rPr>
              <w:t>3</w:t>
            </w:r>
            <w:r>
              <w:rPr>
                <w:rFonts w:hint="eastAsia"/>
                <w:color w:val="FF0000"/>
              </w:rPr>
              <w:t>；林格曼黑度＜1；满足《锅炉大气污染物排放标准》（GB13271-2014）中表3大气污染物特别排放限值中燃气锅炉排放浓度限值要求。</w:t>
            </w:r>
          </w:p>
          <w:p>
            <w:pPr>
              <w:spacing w:line="360" w:lineRule="auto"/>
              <w:ind w:firstLine="480" w:firstLineChars="200"/>
            </w:pPr>
            <w:r>
              <w:rPr>
                <w:rFonts w:hint="eastAsia"/>
              </w:rPr>
              <w:t>②干燥阶段废气：主要成分为颗粒物，经袋式除尘器处理后，引至排气筒DA002排放。根据企业提供例行监测数据，排气筒DA00</w:t>
            </w:r>
            <w:r>
              <w:t>2</w:t>
            </w:r>
            <w:r>
              <w:rPr>
                <w:rFonts w:hint="eastAsia"/>
              </w:rPr>
              <w:t>颗粒物排放浓度为</w:t>
            </w:r>
            <w:r>
              <w:t>57</w:t>
            </w:r>
            <w:r>
              <w:rPr>
                <w:rFonts w:hint="eastAsia"/>
              </w:rPr>
              <w:t>.</w:t>
            </w:r>
            <w:r>
              <w:t>4</w:t>
            </w:r>
            <w:r>
              <w:rPr>
                <w:rFonts w:hint="eastAsia"/>
              </w:rPr>
              <w:t>-</w:t>
            </w:r>
            <w:r>
              <w:t>59</w:t>
            </w:r>
            <w:r>
              <w:rPr>
                <w:rFonts w:hint="eastAsia"/>
              </w:rPr>
              <w:t>.</w:t>
            </w:r>
            <w:r>
              <w:t>4</w:t>
            </w:r>
            <w:r>
              <w:rPr>
                <w:rFonts w:hint="eastAsia"/>
              </w:rPr>
              <w:t>mg</w:t>
            </w:r>
            <w:r>
              <w:t>/</w:t>
            </w:r>
            <w:r>
              <w:rPr>
                <w:rFonts w:hint="eastAsia"/>
              </w:rPr>
              <w:t>m</w:t>
            </w:r>
            <w:r>
              <w:rPr>
                <w:vertAlign w:val="superscript"/>
              </w:rPr>
              <w:t>3</w:t>
            </w:r>
            <w:r>
              <w:rPr>
                <w:rFonts w:hint="eastAsia"/>
              </w:rPr>
              <w:t>；满足《大气污染物综合排放标准》（GB16297-1996）表2排放限值要求（1</w:t>
            </w:r>
            <w:r>
              <w:t>20</w:t>
            </w:r>
            <w:r>
              <w:rPr>
                <w:rFonts w:hint="eastAsia"/>
              </w:rPr>
              <w:t>mg</w:t>
            </w:r>
            <w:r>
              <w:t>/m</w:t>
            </w:r>
            <w:r>
              <w:rPr>
                <w:vertAlign w:val="superscript"/>
              </w:rPr>
              <w:t>3</w:t>
            </w:r>
            <w:r>
              <w:rPr>
                <w:rFonts w:hint="eastAsia"/>
              </w:rPr>
              <w:t>）。</w:t>
            </w:r>
          </w:p>
          <w:p>
            <w:pPr>
              <w:spacing w:line="360" w:lineRule="auto"/>
              <w:ind w:firstLine="480" w:firstLineChars="200"/>
            </w:pPr>
            <w:r>
              <w:rPr>
                <w:rFonts w:hint="eastAsia"/>
              </w:rPr>
              <w:t>③刨片阶段废气：主要成分为颗粒物，经袋式除尘器处理后引至排气筒DA004排放。根据企业提供例行监测数据，排气筒DA00</w:t>
            </w:r>
            <w:r>
              <w:t>4</w:t>
            </w:r>
            <w:r>
              <w:rPr>
                <w:rFonts w:hint="eastAsia"/>
              </w:rPr>
              <w:t>颗粒物排放浓度为</w:t>
            </w:r>
            <w:r>
              <w:t>53</w:t>
            </w:r>
            <w:r>
              <w:rPr>
                <w:rFonts w:hint="eastAsia"/>
              </w:rPr>
              <w:t>.</w:t>
            </w:r>
            <w:r>
              <w:t>2</w:t>
            </w:r>
            <w:r>
              <w:rPr>
                <w:rFonts w:hint="eastAsia"/>
              </w:rPr>
              <w:t>-</w:t>
            </w:r>
            <w:r>
              <w:t>61</w:t>
            </w:r>
            <w:r>
              <w:rPr>
                <w:rFonts w:hint="eastAsia"/>
              </w:rPr>
              <w:t>.</w:t>
            </w:r>
            <w:r>
              <w:t>5</w:t>
            </w:r>
            <w:r>
              <w:rPr>
                <w:rFonts w:hint="eastAsia"/>
              </w:rPr>
              <w:t>mg</w:t>
            </w:r>
            <w:r>
              <w:t>/</w:t>
            </w:r>
            <w:r>
              <w:rPr>
                <w:rFonts w:hint="eastAsia"/>
              </w:rPr>
              <w:t>m</w:t>
            </w:r>
            <w:r>
              <w:rPr>
                <w:vertAlign w:val="superscript"/>
              </w:rPr>
              <w:t>3</w:t>
            </w:r>
            <w:r>
              <w:rPr>
                <w:rFonts w:hint="eastAsia"/>
              </w:rPr>
              <w:t>；满足《大气污染物综合排放标准》（GB16297-1996）表2</w:t>
            </w:r>
            <w:r>
              <w:t>排放限值要求（</w:t>
            </w:r>
            <w:r>
              <w:rPr>
                <w:rFonts w:hint="eastAsia"/>
              </w:rPr>
              <w:t>1</w:t>
            </w:r>
            <w:r>
              <w:t>20mg/m</w:t>
            </w:r>
            <w:r>
              <w:rPr>
                <w:vertAlign w:val="superscript"/>
              </w:rPr>
              <w:t>3</w:t>
            </w:r>
            <w:r>
              <w:t>）</w:t>
            </w:r>
            <w:r>
              <w:rPr>
                <w:rFonts w:hint="eastAsia"/>
              </w:rPr>
              <w:t>。</w:t>
            </w:r>
          </w:p>
          <w:p>
            <w:pPr>
              <w:spacing w:line="360" w:lineRule="auto"/>
              <w:ind w:firstLine="480" w:firstLineChars="200"/>
            </w:pPr>
            <w:r>
              <w:rPr>
                <w:rFonts w:hint="eastAsia"/>
              </w:rPr>
              <w:t>④施胶、铺装、预压、热压、截断工序废气：主要成分为VOCs、甲醛、颗粒物，经UV光氧+活性炭吸附+水幕除尘装置处理后引至排气筒DA005排放。根据企业提供例行监测数据，排气筒DA00</w:t>
            </w:r>
            <w:r>
              <w:t>5</w:t>
            </w:r>
            <w:r>
              <w:rPr>
                <w:rFonts w:hint="eastAsia"/>
              </w:rPr>
              <w:t>颗粒物排放浓度为</w:t>
            </w:r>
            <w:r>
              <w:t>59</w:t>
            </w:r>
            <w:r>
              <w:rPr>
                <w:rFonts w:hint="eastAsia"/>
              </w:rPr>
              <w:t>.</w:t>
            </w:r>
            <w:r>
              <w:t>7</w:t>
            </w:r>
            <w:r>
              <w:rPr>
                <w:rFonts w:hint="eastAsia"/>
              </w:rPr>
              <w:t>-</w:t>
            </w:r>
            <w:r>
              <w:t>66</w:t>
            </w:r>
            <w:r>
              <w:rPr>
                <w:rFonts w:hint="eastAsia"/>
              </w:rPr>
              <w:t>.</w:t>
            </w:r>
            <w:r>
              <w:t>9</w:t>
            </w:r>
            <w:r>
              <w:rPr>
                <w:rFonts w:hint="eastAsia"/>
              </w:rPr>
              <w:t>mg</w:t>
            </w:r>
            <w:r>
              <w:t>/</w:t>
            </w:r>
            <w:r>
              <w:rPr>
                <w:rFonts w:hint="eastAsia"/>
              </w:rPr>
              <w:t>m</w:t>
            </w:r>
            <w:r>
              <w:rPr>
                <w:vertAlign w:val="superscript"/>
              </w:rPr>
              <w:t>3</w:t>
            </w:r>
            <w:r>
              <w:rPr>
                <w:rFonts w:hint="eastAsia"/>
              </w:rPr>
              <w:t>；VOCs排放浓度1.</w:t>
            </w:r>
            <w:r>
              <w:t>01</w:t>
            </w:r>
            <w:r>
              <w:rPr>
                <w:rFonts w:hint="eastAsia"/>
              </w:rPr>
              <w:t>-</w:t>
            </w:r>
            <w:r>
              <w:t>1</w:t>
            </w:r>
            <w:r>
              <w:rPr>
                <w:rFonts w:hint="eastAsia"/>
              </w:rPr>
              <w:t>.</w:t>
            </w:r>
            <w:r>
              <w:t>06</w:t>
            </w:r>
            <w:r>
              <w:rPr>
                <w:rFonts w:hint="eastAsia"/>
              </w:rPr>
              <w:t xml:space="preserve"> mg</w:t>
            </w:r>
            <w:r>
              <w:t>/</w:t>
            </w:r>
            <w:r>
              <w:rPr>
                <w:rFonts w:hint="eastAsia"/>
              </w:rPr>
              <w:t>m</w:t>
            </w:r>
            <w:r>
              <w:rPr>
                <w:vertAlign w:val="superscript"/>
              </w:rPr>
              <w:t>3</w:t>
            </w:r>
            <w:r>
              <w:rPr>
                <w:rFonts w:hint="eastAsia"/>
              </w:rPr>
              <w:t>；甲醛排放浓度1</w:t>
            </w:r>
            <w:r>
              <w:t>5</w:t>
            </w:r>
            <w:r>
              <w:rPr>
                <w:rFonts w:hint="eastAsia"/>
              </w:rPr>
              <w:t>.</w:t>
            </w:r>
            <w:r>
              <w:t>684</w:t>
            </w:r>
            <w:r>
              <w:rPr>
                <w:rFonts w:hint="eastAsia"/>
              </w:rPr>
              <w:t>-</w:t>
            </w:r>
            <w:r>
              <w:t>16</w:t>
            </w:r>
            <w:r>
              <w:rPr>
                <w:rFonts w:hint="eastAsia"/>
              </w:rPr>
              <w:t>.</w:t>
            </w:r>
            <w:r>
              <w:t>831</w:t>
            </w:r>
            <w:r>
              <w:rPr>
                <w:rFonts w:hint="eastAsia"/>
              </w:rPr>
              <w:t xml:space="preserve"> mg</w:t>
            </w:r>
            <w:r>
              <w:t>/</w:t>
            </w:r>
            <w:r>
              <w:rPr>
                <w:rFonts w:hint="eastAsia"/>
              </w:rPr>
              <w:t>m</w:t>
            </w:r>
            <w:r>
              <w:rPr>
                <w:vertAlign w:val="superscript"/>
              </w:rPr>
              <w:t>3</w:t>
            </w:r>
            <w:r>
              <w:rPr>
                <w:rFonts w:hint="eastAsia"/>
              </w:rPr>
              <w:t>。颗粒物排放浓度满足《大气污染物综合排放标准》（GB16297-1996）表2二级</w:t>
            </w:r>
            <w:r>
              <w:t>排放限值要求（</w:t>
            </w:r>
            <w:r>
              <w:rPr>
                <w:rFonts w:hint="eastAsia"/>
              </w:rPr>
              <w:t>1</w:t>
            </w:r>
            <w:r>
              <w:t>20mg/m</w:t>
            </w:r>
            <w:r>
              <w:rPr>
                <w:vertAlign w:val="superscript"/>
              </w:rPr>
              <w:t>3</w:t>
            </w:r>
            <w:r>
              <w:t>）</w:t>
            </w:r>
            <w:r>
              <w:rPr>
                <w:rFonts w:hint="eastAsia"/>
              </w:rPr>
              <w:t>。VOCs、甲醛排放浓度《大气污染物综合排放标准》（GB16297-1996）表 2 中二级</w:t>
            </w:r>
            <w:r>
              <w:t>排放限值要求（</w:t>
            </w:r>
            <w:r>
              <w:rPr>
                <w:rFonts w:hint="eastAsia"/>
              </w:rPr>
              <w:t>VOCs 1</w:t>
            </w:r>
            <w:r>
              <w:t>20mg/m</w:t>
            </w:r>
            <w:r>
              <w:rPr>
                <w:vertAlign w:val="superscript"/>
              </w:rPr>
              <w:t>3</w:t>
            </w:r>
            <w:r>
              <w:rPr>
                <w:rFonts w:hint="eastAsia"/>
              </w:rPr>
              <w:t xml:space="preserve">、甲醛 </w:t>
            </w:r>
            <w:r>
              <w:t>25mg/m</w:t>
            </w:r>
            <w:r>
              <w:rPr>
                <w:vertAlign w:val="superscript"/>
              </w:rPr>
              <w:t>3</w:t>
            </w:r>
            <w:r>
              <w:t>）</w:t>
            </w:r>
            <w:r>
              <w:rPr>
                <w:rFonts w:hint="eastAsia"/>
              </w:rPr>
              <w:t>。</w:t>
            </w:r>
          </w:p>
          <w:p>
            <w:pPr>
              <w:spacing w:line="360" w:lineRule="auto"/>
              <w:ind w:firstLine="480" w:firstLineChars="200"/>
            </w:pPr>
            <w:r>
              <w:rPr>
                <w:rFonts w:hint="eastAsia"/>
              </w:rPr>
              <w:t>⑤制胶工序废气：主要成分为甲醛，经UV光氧+活性炭吸附装置处理后引至排气筒DA006排放。根据企业提供例行监测数据，排气筒DA00</w:t>
            </w:r>
            <w:r>
              <w:t>6</w:t>
            </w:r>
            <w:r>
              <w:rPr>
                <w:rFonts w:hint="eastAsia"/>
              </w:rPr>
              <w:t>颗</w:t>
            </w:r>
            <w:r>
              <w:t>甲醛排放浓度</w:t>
            </w:r>
            <w:r>
              <w:rPr>
                <w:rFonts w:hint="eastAsia"/>
              </w:rPr>
              <w:t>1</w:t>
            </w:r>
            <w:r>
              <w:t>5.181-16.976mg/</w:t>
            </w:r>
            <w:r>
              <w:rPr>
                <w:rFonts w:hint="eastAsia"/>
              </w:rPr>
              <w:t>m</w:t>
            </w:r>
            <w:r>
              <w:rPr>
                <w:vertAlign w:val="superscript"/>
              </w:rPr>
              <w:t>3</w:t>
            </w:r>
            <w:r>
              <w:rPr>
                <w:rFonts w:hint="eastAsia"/>
              </w:rPr>
              <w:t>。甲醛排放浓度《大气污染物综合排放标准》（GB16297-1996）表 2 中二级</w:t>
            </w:r>
            <w:r>
              <w:t>排放限值要求（</w:t>
            </w:r>
            <w:r>
              <w:rPr>
                <w:rFonts w:hint="eastAsia"/>
              </w:rPr>
              <w:t xml:space="preserve">甲醛 </w:t>
            </w:r>
            <w:r>
              <w:t>25mg/m</w:t>
            </w:r>
            <w:r>
              <w:rPr>
                <w:vertAlign w:val="superscript"/>
              </w:rPr>
              <w:t>3</w:t>
            </w:r>
            <w:r>
              <w:t>）。</w:t>
            </w:r>
          </w:p>
          <w:p>
            <w:pPr>
              <w:spacing w:line="360" w:lineRule="auto"/>
              <w:ind w:firstLine="480" w:firstLineChars="200"/>
            </w:pPr>
            <w:r>
              <w:rPr>
                <w:rFonts w:hint="eastAsia"/>
              </w:rPr>
              <w:t>⑥砂光废气：主要成分为颗粒物，经2套袋式除尘器处理后引至排气筒DA007、DA008排放。根据企业提供例行监测数据，排气筒DA00</w:t>
            </w:r>
            <w:r>
              <w:t>7</w:t>
            </w:r>
            <w:r>
              <w:rPr>
                <w:rFonts w:hint="eastAsia"/>
              </w:rPr>
              <w:t>颗粒物排放浓度为</w:t>
            </w:r>
            <w:r>
              <w:t>72</w:t>
            </w:r>
            <w:r>
              <w:rPr>
                <w:rFonts w:hint="eastAsia"/>
              </w:rPr>
              <w:t>.</w:t>
            </w:r>
            <w:r>
              <w:t>2</w:t>
            </w:r>
            <w:r>
              <w:rPr>
                <w:rFonts w:hint="eastAsia"/>
              </w:rPr>
              <w:t>-</w:t>
            </w:r>
            <w:r>
              <w:t>79</w:t>
            </w:r>
            <w:r>
              <w:rPr>
                <w:rFonts w:hint="eastAsia"/>
              </w:rPr>
              <w:t>.</w:t>
            </w:r>
            <w:r>
              <w:t>5</w:t>
            </w:r>
            <w:r>
              <w:rPr>
                <w:rFonts w:hint="eastAsia"/>
              </w:rPr>
              <w:t>mg</w:t>
            </w:r>
            <w:r>
              <w:t>/</w:t>
            </w:r>
            <w:r>
              <w:rPr>
                <w:rFonts w:hint="eastAsia"/>
              </w:rPr>
              <w:t>m</w:t>
            </w:r>
            <w:r>
              <w:rPr>
                <w:vertAlign w:val="superscript"/>
              </w:rPr>
              <w:t>3</w:t>
            </w:r>
            <w:r>
              <w:rPr>
                <w:rFonts w:hint="eastAsia"/>
              </w:rPr>
              <w:t>；排气筒DA00</w:t>
            </w:r>
            <w:r>
              <w:t>8</w:t>
            </w:r>
            <w:r>
              <w:rPr>
                <w:rFonts w:hint="eastAsia"/>
              </w:rPr>
              <w:t>颗粒物排放浓度为</w:t>
            </w:r>
            <w:r>
              <w:t>76</w:t>
            </w:r>
            <w:r>
              <w:rPr>
                <w:rFonts w:hint="eastAsia"/>
              </w:rPr>
              <w:t>.</w:t>
            </w:r>
            <w:r>
              <w:t>1</w:t>
            </w:r>
            <w:r>
              <w:rPr>
                <w:rFonts w:hint="eastAsia"/>
              </w:rPr>
              <w:t>-</w:t>
            </w:r>
            <w:r>
              <w:t>80</w:t>
            </w:r>
            <w:r>
              <w:rPr>
                <w:rFonts w:hint="eastAsia"/>
              </w:rPr>
              <w:t>.</w:t>
            </w:r>
            <w:r>
              <w:t>9</w:t>
            </w:r>
            <w:r>
              <w:rPr>
                <w:rFonts w:hint="eastAsia"/>
              </w:rPr>
              <w:t>mg</w:t>
            </w:r>
            <w:r>
              <w:t>/</w:t>
            </w:r>
            <w:r>
              <w:rPr>
                <w:rFonts w:hint="eastAsia"/>
              </w:rPr>
              <w:t>m</w:t>
            </w:r>
            <w:r>
              <w:rPr>
                <w:vertAlign w:val="superscript"/>
              </w:rPr>
              <w:t>3</w:t>
            </w:r>
            <w:r>
              <w:rPr>
                <w:rFonts w:hint="eastAsia"/>
              </w:rPr>
              <w:t>；颗粒物排放浓度满足《大气污染物综合排放标准》（GB16297-1996）表2二级</w:t>
            </w:r>
            <w:r>
              <w:t>排放限值要求（</w:t>
            </w:r>
            <w:r>
              <w:rPr>
                <w:rFonts w:hint="eastAsia"/>
              </w:rPr>
              <w:t>1</w:t>
            </w:r>
            <w:r>
              <w:t>20mg/m</w:t>
            </w:r>
            <w:r>
              <w:rPr>
                <w:vertAlign w:val="superscript"/>
              </w:rPr>
              <w:t>3</w:t>
            </w:r>
            <w:r>
              <w:t>）。</w:t>
            </w:r>
          </w:p>
          <w:p>
            <w:pPr>
              <w:spacing w:line="360" w:lineRule="auto"/>
              <w:ind w:firstLine="480" w:firstLineChars="200"/>
            </w:pPr>
            <w:r>
              <w:rPr>
                <w:rFonts w:hint="eastAsia"/>
              </w:rPr>
              <w:t>无组织废气主要为颗粒物、VOCs和甲醛。根据企业提供例行监测数据，厂界颗粒物排放浓度为</w:t>
            </w:r>
            <w:r>
              <w:t>0</w:t>
            </w:r>
            <w:r>
              <w:rPr>
                <w:rFonts w:hint="eastAsia"/>
              </w:rPr>
              <w:t>.</w:t>
            </w:r>
            <w:r>
              <w:t>484</w:t>
            </w:r>
            <w:r>
              <w:rPr>
                <w:rFonts w:hint="eastAsia"/>
              </w:rPr>
              <w:t>-</w:t>
            </w:r>
            <w:r>
              <w:t>0</w:t>
            </w:r>
            <w:r>
              <w:rPr>
                <w:rFonts w:hint="eastAsia"/>
              </w:rPr>
              <w:t>.</w:t>
            </w:r>
            <w:r>
              <w:t>667mg/</w:t>
            </w:r>
            <w:r>
              <w:rPr>
                <w:rFonts w:hint="eastAsia"/>
              </w:rPr>
              <w:t>m</w:t>
            </w:r>
            <w:r>
              <w:rPr>
                <w:vertAlign w:val="superscript"/>
              </w:rPr>
              <w:t>3</w:t>
            </w:r>
            <w:r>
              <w:t>；</w:t>
            </w:r>
            <w:r>
              <w:rPr>
                <w:rFonts w:hint="eastAsia"/>
              </w:rPr>
              <w:t>VOCs排放浓度1</w:t>
            </w:r>
            <w:r>
              <w:t>.05</w:t>
            </w:r>
            <w:r>
              <w:rPr>
                <w:rFonts w:hint="eastAsia"/>
              </w:rPr>
              <w:t>-</w:t>
            </w:r>
            <w:r>
              <w:t>1</w:t>
            </w:r>
            <w:r>
              <w:rPr>
                <w:rFonts w:hint="eastAsia"/>
              </w:rPr>
              <w:t>.</w:t>
            </w:r>
            <w:r>
              <w:t>24</w:t>
            </w:r>
            <w:r>
              <w:rPr>
                <w:rFonts w:hint="eastAsia"/>
              </w:rPr>
              <w:t xml:space="preserve"> </w:t>
            </w:r>
            <w:r>
              <w:t>mg/</w:t>
            </w:r>
            <w:r>
              <w:rPr>
                <w:rFonts w:hint="eastAsia"/>
              </w:rPr>
              <w:t>m</w:t>
            </w:r>
            <w:r>
              <w:rPr>
                <w:vertAlign w:val="superscript"/>
              </w:rPr>
              <w:t>3</w:t>
            </w:r>
            <w:r>
              <w:t>；甲醛排放浓度0</w:t>
            </w:r>
            <w:r>
              <w:rPr>
                <w:rFonts w:hint="eastAsia"/>
              </w:rPr>
              <w:t>.</w:t>
            </w:r>
            <w:r>
              <w:t>057</w:t>
            </w:r>
            <w:r>
              <w:rPr>
                <w:rFonts w:hint="eastAsia"/>
              </w:rPr>
              <w:t>-</w:t>
            </w:r>
            <w:r>
              <w:t>0</w:t>
            </w:r>
            <w:r>
              <w:rPr>
                <w:rFonts w:hint="eastAsia"/>
              </w:rPr>
              <w:t>.</w:t>
            </w:r>
            <w:r>
              <w:t>086</w:t>
            </w:r>
            <w:r>
              <w:rPr>
                <w:rFonts w:hint="eastAsia"/>
              </w:rPr>
              <w:t xml:space="preserve"> </w:t>
            </w:r>
            <w:r>
              <w:t>mg/</w:t>
            </w:r>
            <w:r>
              <w:rPr>
                <w:rFonts w:hint="eastAsia"/>
              </w:rPr>
              <w:t>m</w:t>
            </w:r>
            <w:r>
              <w:rPr>
                <w:vertAlign w:val="superscript"/>
              </w:rPr>
              <w:t>3</w:t>
            </w:r>
            <w:r>
              <w:rPr>
                <w:rFonts w:hint="eastAsia"/>
              </w:rPr>
              <w:t>。无组织颗粒物、VOCs、甲醛排放浓度满足《大气污染物综合排放标准》（GB16297-1996）表 2 中限值。</w:t>
            </w:r>
          </w:p>
          <w:p>
            <w:pPr>
              <w:spacing w:line="360" w:lineRule="auto"/>
              <w:ind w:firstLine="480" w:firstLineChars="200"/>
            </w:pPr>
            <w:r>
              <w:rPr>
                <w:rFonts w:hint="eastAsia"/>
              </w:rPr>
              <w:t>（2）</w:t>
            </w:r>
            <w:r>
              <w:t>废水</w:t>
            </w:r>
          </w:p>
          <w:p>
            <w:pPr>
              <w:adjustRightInd w:val="0"/>
              <w:snapToGrid w:val="0"/>
              <w:spacing w:line="360" w:lineRule="auto"/>
              <w:ind w:firstLine="480" w:firstLineChars="200"/>
              <w:rPr>
                <w:szCs w:val="22"/>
              </w:rPr>
            </w:pPr>
            <w:r>
              <w:rPr>
                <w:rFonts w:hint="eastAsia"/>
                <w:szCs w:val="22"/>
              </w:rPr>
              <w:t>本项目营运期废水主要为职工生活污水。职工生活污水年产生量约</w:t>
            </w:r>
            <w:r>
              <w:rPr>
                <w:szCs w:val="22"/>
                <w:lang w:val="en-GB"/>
              </w:rPr>
              <w:t>600</w:t>
            </w:r>
            <w:r>
              <w:rPr>
                <w:rFonts w:hint="eastAsia"/>
                <w:szCs w:val="22"/>
                <w:lang w:val="en-GB"/>
              </w:rPr>
              <w:t>m</w:t>
            </w:r>
            <w:r>
              <w:rPr>
                <w:szCs w:val="22"/>
                <w:vertAlign w:val="superscript"/>
                <w:lang w:val="en-GB"/>
              </w:rPr>
              <w:t>3</w:t>
            </w:r>
            <w:r>
              <w:rPr>
                <w:rFonts w:hint="eastAsia"/>
                <w:szCs w:val="22"/>
                <w:lang w:val="en-GB"/>
              </w:rPr>
              <w:t>/a</w:t>
            </w:r>
            <w:r>
              <w:rPr>
                <w:rFonts w:hint="eastAsia"/>
                <w:szCs w:val="22"/>
              </w:rPr>
              <w:t>。</w:t>
            </w:r>
            <w:r>
              <w:rPr>
                <w:rFonts w:hint="eastAsia"/>
                <w:szCs w:val="22"/>
                <w:lang w:val="en-GB"/>
              </w:rPr>
              <w:t>经化粪池预处理后出水水质氨氮满足《污水排入城镇下水道水质标准》（GB/T31962-2015）B 等级标准，其他指标满足《污水综合排放标准》（GB8978-1996）三级标准后排入昌吉高新海天污水处理站深度处理。</w:t>
            </w:r>
          </w:p>
          <w:p>
            <w:pPr>
              <w:spacing w:line="360" w:lineRule="auto"/>
              <w:ind w:firstLine="480" w:firstLineChars="200"/>
            </w:pPr>
            <w:r>
              <w:rPr>
                <w:rFonts w:hint="eastAsia"/>
              </w:rPr>
              <w:t>（3）</w:t>
            </w:r>
            <w:r>
              <w:t>固废</w:t>
            </w:r>
          </w:p>
          <w:p>
            <w:pPr>
              <w:adjustRightInd w:val="0"/>
              <w:snapToGrid w:val="0"/>
              <w:spacing w:line="360" w:lineRule="auto"/>
              <w:ind w:firstLine="470" w:firstLineChars="196"/>
              <w:rPr>
                <w:szCs w:val="22"/>
              </w:rPr>
            </w:pPr>
            <w:r>
              <w:rPr>
                <w:szCs w:val="22"/>
              </w:rPr>
              <w:t>本项目运营期产生的固体废物主要为一般固废</w:t>
            </w:r>
            <w:r>
              <w:rPr>
                <w:rFonts w:hint="eastAsia"/>
                <w:szCs w:val="22"/>
              </w:rPr>
              <w:t>、危险废物和生活垃圾。</w:t>
            </w:r>
          </w:p>
          <w:p>
            <w:pPr>
              <w:adjustRightInd w:val="0"/>
              <w:snapToGrid w:val="0"/>
              <w:spacing w:line="360" w:lineRule="auto"/>
              <w:ind w:firstLine="470" w:firstLineChars="196"/>
              <w:rPr>
                <w:szCs w:val="22"/>
              </w:rPr>
            </w:pPr>
            <w:r>
              <w:rPr>
                <w:rFonts w:hint="eastAsia"/>
                <w:szCs w:val="22"/>
              </w:rPr>
              <w:t>①一般固废</w:t>
            </w:r>
          </w:p>
          <w:p>
            <w:pPr>
              <w:adjustRightInd w:val="0"/>
              <w:snapToGrid w:val="0"/>
              <w:spacing w:line="360" w:lineRule="auto"/>
              <w:ind w:firstLine="470" w:firstLineChars="196"/>
              <w:rPr>
                <w:szCs w:val="22"/>
              </w:rPr>
            </w:pPr>
            <w:r>
              <w:rPr>
                <w:rFonts w:hint="eastAsia"/>
                <w:szCs w:val="22"/>
              </w:rPr>
              <w:t>废边角料、不合格品：产生量约为</w:t>
            </w:r>
            <w:r>
              <w:rPr>
                <w:szCs w:val="22"/>
              </w:rPr>
              <w:t>521</w:t>
            </w:r>
            <w:r>
              <w:rPr>
                <w:rFonts w:hint="eastAsia"/>
                <w:szCs w:val="22"/>
              </w:rPr>
              <w:t>.</w:t>
            </w:r>
            <w:r>
              <w:rPr>
                <w:szCs w:val="22"/>
              </w:rPr>
              <w:t>1</w:t>
            </w:r>
            <w:r>
              <w:rPr>
                <w:rFonts w:hint="eastAsia"/>
                <w:szCs w:val="22"/>
              </w:rPr>
              <w:t>t</w:t>
            </w:r>
            <w:r>
              <w:rPr>
                <w:szCs w:val="22"/>
              </w:rPr>
              <w:t>/a</w:t>
            </w:r>
            <w:r>
              <w:rPr>
                <w:rFonts w:hint="eastAsia"/>
                <w:szCs w:val="22"/>
              </w:rPr>
              <w:t>，收集后回用于生产线</w:t>
            </w:r>
          </w:p>
          <w:p>
            <w:pPr>
              <w:adjustRightInd w:val="0"/>
              <w:snapToGrid w:val="0"/>
              <w:spacing w:line="360" w:lineRule="auto"/>
              <w:ind w:firstLine="470" w:firstLineChars="196"/>
              <w:rPr>
                <w:szCs w:val="22"/>
              </w:rPr>
            </w:pPr>
            <w:r>
              <w:rPr>
                <w:rFonts w:hint="eastAsia"/>
                <w:szCs w:val="22"/>
              </w:rPr>
              <w:t>除尘器粉尘：产生量约为</w:t>
            </w:r>
            <w:r>
              <w:rPr>
                <w:szCs w:val="22"/>
              </w:rPr>
              <w:t>210</w:t>
            </w:r>
            <w:r>
              <w:rPr>
                <w:rFonts w:hint="eastAsia"/>
                <w:szCs w:val="22"/>
              </w:rPr>
              <w:t>.</w:t>
            </w:r>
            <w:r>
              <w:rPr>
                <w:szCs w:val="22"/>
              </w:rPr>
              <w:t>3</w:t>
            </w:r>
            <w:r>
              <w:rPr>
                <w:rFonts w:hint="eastAsia"/>
                <w:szCs w:val="22"/>
              </w:rPr>
              <w:t>t</w:t>
            </w:r>
            <w:r>
              <w:rPr>
                <w:szCs w:val="22"/>
              </w:rPr>
              <w:t>/a</w:t>
            </w:r>
            <w:r>
              <w:rPr>
                <w:rFonts w:hint="eastAsia"/>
                <w:szCs w:val="22"/>
              </w:rPr>
              <w:t>，收集后回用于生产线</w:t>
            </w:r>
          </w:p>
          <w:p>
            <w:pPr>
              <w:adjustRightInd w:val="0"/>
              <w:snapToGrid w:val="0"/>
              <w:spacing w:line="360" w:lineRule="auto"/>
              <w:ind w:firstLine="470" w:firstLineChars="196"/>
              <w:rPr>
                <w:szCs w:val="22"/>
              </w:rPr>
            </w:pPr>
            <w:r>
              <w:rPr>
                <w:rFonts w:hint="eastAsia"/>
                <w:szCs w:val="22"/>
              </w:rPr>
              <w:t>②生活垃圾：产生量约为3.</w:t>
            </w:r>
            <w:r>
              <w:rPr>
                <w:szCs w:val="22"/>
              </w:rPr>
              <w:t>5</w:t>
            </w:r>
            <w:r>
              <w:rPr>
                <w:rFonts w:hint="eastAsia"/>
                <w:szCs w:val="22"/>
              </w:rPr>
              <w:t>t</w:t>
            </w:r>
            <w:r>
              <w:rPr>
                <w:szCs w:val="22"/>
              </w:rPr>
              <w:t>/a</w:t>
            </w:r>
            <w:r>
              <w:rPr>
                <w:rFonts w:hint="eastAsia"/>
                <w:szCs w:val="22"/>
              </w:rPr>
              <w:t>，经厂区垃圾桶分类收集后，定期委托环卫部门清运；</w:t>
            </w:r>
          </w:p>
          <w:p>
            <w:pPr>
              <w:adjustRightInd w:val="0"/>
              <w:snapToGrid w:val="0"/>
              <w:spacing w:line="360" w:lineRule="auto"/>
              <w:ind w:firstLine="470" w:firstLineChars="196"/>
              <w:rPr>
                <w:szCs w:val="22"/>
              </w:rPr>
            </w:pPr>
            <w:r>
              <w:rPr>
                <w:rFonts w:hint="eastAsia"/>
                <w:szCs w:val="22"/>
              </w:rPr>
              <w:t>③危险废物</w:t>
            </w:r>
          </w:p>
          <w:p>
            <w:pPr>
              <w:adjustRightInd w:val="0"/>
              <w:snapToGrid w:val="0"/>
              <w:spacing w:line="360" w:lineRule="auto"/>
              <w:ind w:firstLine="470" w:firstLineChars="196"/>
              <w:rPr>
                <w:szCs w:val="22"/>
              </w:rPr>
            </w:pPr>
            <w:r>
              <w:rPr>
                <w:rFonts w:hint="eastAsia"/>
                <w:szCs w:val="22"/>
              </w:rPr>
              <w:t>废UV灯管：产生量约为0.</w:t>
            </w:r>
            <w:r>
              <w:rPr>
                <w:szCs w:val="22"/>
              </w:rPr>
              <w:t>2</w:t>
            </w:r>
            <w:r>
              <w:rPr>
                <w:rFonts w:hint="eastAsia"/>
                <w:szCs w:val="22"/>
              </w:rPr>
              <w:t>t</w:t>
            </w:r>
            <w:r>
              <w:rPr>
                <w:szCs w:val="22"/>
              </w:rPr>
              <w:t>/a</w:t>
            </w:r>
            <w:r>
              <w:rPr>
                <w:rFonts w:hint="eastAsia"/>
                <w:szCs w:val="22"/>
              </w:rPr>
              <w:t>，收集后暂存于危废间，定期委托有资质单位处理。</w:t>
            </w:r>
          </w:p>
          <w:p>
            <w:pPr>
              <w:adjustRightInd w:val="0"/>
              <w:snapToGrid w:val="0"/>
              <w:spacing w:line="360" w:lineRule="auto"/>
              <w:ind w:firstLine="470" w:firstLineChars="196"/>
              <w:rPr>
                <w:szCs w:val="22"/>
              </w:rPr>
            </w:pPr>
            <w:r>
              <w:rPr>
                <w:rFonts w:hint="eastAsia"/>
                <w:szCs w:val="22"/>
              </w:rPr>
              <w:t>废活性炭：产生量约为3.</w:t>
            </w:r>
            <w:r>
              <w:rPr>
                <w:szCs w:val="22"/>
              </w:rPr>
              <w:t>4</w:t>
            </w:r>
            <w:r>
              <w:rPr>
                <w:rFonts w:hint="eastAsia"/>
                <w:szCs w:val="22"/>
              </w:rPr>
              <w:t>t</w:t>
            </w:r>
            <w:r>
              <w:rPr>
                <w:szCs w:val="22"/>
              </w:rPr>
              <w:t>/a</w:t>
            </w:r>
            <w:r>
              <w:rPr>
                <w:rFonts w:hint="eastAsia"/>
                <w:szCs w:val="22"/>
              </w:rPr>
              <w:t>，收集后暂存于危废间，定期委托有资质单位处理。</w:t>
            </w:r>
          </w:p>
          <w:p>
            <w:pPr>
              <w:adjustRightInd w:val="0"/>
              <w:snapToGrid w:val="0"/>
              <w:spacing w:line="360" w:lineRule="auto"/>
              <w:ind w:firstLine="470" w:firstLineChars="196"/>
              <w:rPr>
                <w:szCs w:val="22"/>
              </w:rPr>
            </w:pPr>
            <w:r>
              <w:rPr>
                <w:rFonts w:hint="eastAsia"/>
                <w:szCs w:val="22"/>
              </w:rPr>
              <w:t>项目一般固废满足《一般工业固体废物贮存和填埋 污染控制标准》（GB18599-2020）。危险废物满足《危险废物贮存污染控制标准》（GB18597-2001）及其修改单标准要求。</w:t>
            </w:r>
          </w:p>
          <w:p>
            <w:pPr>
              <w:adjustRightInd w:val="0"/>
              <w:snapToGrid w:val="0"/>
              <w:spacing w:line="360" w:lineRule="auto"/>
              <w:ind w:firstLine="480" w:firstLineChars="200"/>
              <w:rPr>
                <w:szCs w:val="22"/>
              </w:rPr>
            </w:pPr>
            <w:r>
              <w:rPr>
                <w:rFonts w:hint="eastAsia"/>
                <w:szCs w:val="22"/>
              </w:rPr>
              <w:t>（4）噪声</w:t>
            </w:r>
          </w:p>
          <w:p>
            <w:pPr>
              <w:adjustRightInd w:val="0"/>
              <w:snapToGrid w:val="0"/>
              <w:spacing w:line="360" w:lineRule="auto"/>
              <w:ind w:firstLine="480" w:firstLineChars="200"/>
              <w:rPr>
                <w:szCs w:val="22"/>
              </w:rPr>
            </w:pPr>
            <w:r>
              <w:rPr>
                <w:rFonts w:hint="eastAsia"/>
                <w:szCs w:val="22"/>
              </w:rPr>
              <w:t>项目噪声主要为设备运行噪声。采取选用低噪声设备，在设备基础采取减震降噪措施，定期对设备进行维护保养，经采取治理措施后，厂界噪声可满足《工业企业厂界环境噪声排放标准》(GB12348-2008)中</w:t>
            </w:r>
            <w:r>
              <w:rPr>
                <w:szCs w:val="22"/>
              </w:rPr>
              <w:t>3</w:t>
            </w:r>
            <w:r>
              <w:rPr>
                <w:rFonts w:hint="eastAsia"/>
                <w:szCs w:val="22"/>
              </w:rPr>
              <w:t>类区标准。</w:t>
            </w:r>
          </w:p>
          <w:p>
            <w:pPr>
              <w:spacing w:line="360" w:lineRule="auto"/>
              <w:ind w:firstLine="482" w:firstLineChars="200"/>
              <w:rPr>
                <w:b/>
                <w:bCs/>
              </w:rPr>
            </w:pPr>
            <w:r>
              <w:rPr>
                <w:b/>
                <w:bCs/>
              </w:rPr>
              <w:t>3、</w:t>
            </w:r>
            <w:r>
              <w:rPr>
                <w:rFonts w:hint="eastAsia"/>
                <w:b/>
                <w:bCs/>
              </w:rPr>
              <w:t>排污许可情况</w:t>
            </w:r>
          </w:p>
          <w:p>
            <w:pPr>
              <w:spacing w:line="360" w:lineRule="auto"/>
              <w:ind w:firstLine="480" w:firstLineChars="200"/>
            </w:pPr>
            <w:r>
              <w:rPr>
                <w:rFonts w:hint="eastAsia"/>
              </w:rPr>
              <w:t>企业现有项目已申报排污许可，管理方式为简化管理，登记编号为</w:t>
            </w:r>
            <w:r>
              <w:t>916523000620875276001R</w:t>
            </w:r>
            <w:r>
              <w:rPr>
                <w:rFonts w:hint="eastAsia"/>
              </w:rPr>
              <w:t>。排污登记回执见附件4。</w:t>
            </w:r>
          </w:p>
          <w:p>
            <w:pPr>
              <w:spacing w:line="360" w:lineRule="auto"/>
              <w:ind w:firstLine="482" w:firstLineChars="200"/>
              <w:rPr>
                <w:b/>
                <w:bCs/>
                <w:color w:val="FF0000"/>
              </w:rPr>
            </w:pPr>
            <w:r>
              <w:rPr>
                <w:b/>
                <w:bCs/>
                <w:color w:val="FF0000"/>
              </w:rPr>
              <w:t xml:space="preserve">四、存在的环保问题 </w:t>
            </w:r>
          </w:p>
          <w:p>
            <w:pPr>
              <w:spacing w:line="360" w:lineRule="auto"/>
              <w:ind w:firstLine="480" w:firstLineChars="200"/>
              <w:rPr>
                <w:color w:val="FF0000"/>
              </w:rPr>
            </w:pPr>
            <w:r>
              <w:rPr>
                <w:color w:val="FF0000"/>
              </w:rPr>
              <w:t>根据企业提供资料及现场勘查，项目环保手续完善，各项环保设施稳定运行。</w:t>
            </w:r>
          </w:p>
          <w:p>
            <w:pPr>
              <w:spacing w:line="360" w:lineRule="auto"/>
              <w:ind w:firstLine="480" w:firstLineChars="200"/>
              <w:rPr>
                <w:color w:val="FF0000"/>
              </w:rPr>
            </w:pPr>
            <w:r>
              <w:rPr>
                <w:color w:val="FF0000"/>
              </w:rPr>
              <w:t>公司已成立专门的</w:t>
            </w:r>
            <w:r>
              <w:rPr>
                <w:rFonts w:hint="eastAsia"/>
                <w:color w:val="FF0000"/>
              </w:rPr>
              <w:t>环境风险排查小组</w:t>
            </w:r>
            <w:r>
              <w:rPr>
                <w:color w:val="FF0000"/>
              </w:rPr>
              <w:t>，定期进行环境风险排查，定期对厂区</w:t>
            </w:r>
            <w:r>
              <w:rPr>
                <w:rFonts w:hint="eastAsia"/>
                <w:color w:val="FF0000"/>
              </w:rPr>
              <w:t>环保设施</w:t>
            </w:r>
            <w:r>
              <w:rPr>
                <w:color w:val="FF0000"/>
              </w:rPr>
              <w:t xml:space="preserve">进行维护，同时负责事故状态下应急抢修工作； </w:t>
            </w:r>
          </w:p>
          <w:p>
            <w:pPr>
              <w:spacing w:line="360" w:lineRule="auto"/>
              <w:ind w:firstLine="480" w:firstLineChars="200"/>
              <w:rPr>
                <w:color w:val="FF0000"/>
              </w:rPr>
            </w:pPr>
            <w:r>
              <w:rPr>
                <w:color w:val="FF0000"/>
              </w:rPr>
              <w:t>公司已成立专门的环保人员，负责环境保护档案管理工作，环保档案实行专人管理、责任到人。</w:t>
            </w:r>
          </w:p>
          <w:p>
            <w:pPr>
              <w:spacing w:line="360" w:lineRule="auto"/>
              <w:ind w:firstLine="480" w:firstLineChars="200"/>
              <w:rPr>
                <w:color w:val="FF0000"/>
              </w:rPr>
            </w:pPr>
            <w:r>
              <w:rPr>
                <w:rFonts w:hint="eastAsia"/>
                <w:color w:val="FF0000"/>
              </w:rPr>
              <w:t>企业存在环保问题主要为有机废气处理设施（UV光氧+活性炭吸附装置）处理效率较低。</w:t>
            </w:r>
          </w:p>
          <w:p>
            <w:pPr>
              <w:spacing w:line="360" w:lineRule="auto"/>
              <w:ind w:firstLine="482" w:firstLineChars="200"/>
              <w:rPr>
                <w:b/>
                <w:bCs/>
                <w:color w:val="FF0000"/>
              </w:rPr>
            </w:pPr>
            <w:r>
              <w:rPr>
                <w:b/>
                <w:bCs/>
                <w:color w:val="FF0000"/>
              </w:rPr>
              <w:t xml:space="preserve">五、整改措施 </w:t>
            </w:r>
          </w:p>
          <w:p>
            <w:pPr>
              <w:spacing w:line="360" w:lineRule="auto"/>
              <w:ind w:firstLine="480" w:firstLineChars="200"/>
              <w:rPr>
                <w:color w:val="FF0000"/>
              </w:rPr>
            </w:pPr>
            <w:r>
              <w:rPr>
                <w:rFonts w:hint="eastAsia"/>
                <w:color w:val="FF0000"/>
              </w:rPr>
              <w:t>本项目完成后，现有项目有机废气可汇入新上RTO热力焚烧炉深度处理，减少VOCs排放量，同时可减少危废的产生，有利于环境保护。</w:t>
            </w:r>
          </w:p>
          <w:p>
            <w:pPr>
              <w:spacing w:line="360" w:lineRule="auto"/>
              <w:ind w:firstLine="480" w:firstLineChars="200"/>
            </w:pPr>
            <w:r>
              <w:rPr>
                <w:rFonts w:hint="eastAsia"/>
              </w:rPr>
              <w:t>厂区现有项目照片如下：</w:t>
            </w:r>
          </w:p>
          <w:tbl>
            <w:tblPr>
              <w:tblStyle w:val="51"/>
              <w:tblW w:w="84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2"/>
              <w:gridCol w:w="4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2" w:type="dxa"/>
                </w:tcPr>
                <w:p>
                  <w:pPr>
                    <w:spacing w:line="360" w:lineRule="auto"/>
                  </w:pPr>
                  <w:bookmarkStart w:id="10" w:name="_Hlk89122843"/>
                  <w:r>
                    <w:drawing>
                      <wp:inline distT="0" distB="0" distL="0" distR="0">
                        <wp:extent cx="2531110" cy="1897380"/>
                        <wp:effectExtent l="0" t="0" r="254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1110" cy="1897380"/>
                                </a:xfrm>
                                <a:prstGeom prst="rect">
                                  <a:avLst/>
                                </a:prstGeom>
                                <a:noFill/>
                                <a:ln>
                                  <a:noFill/>
                                </a:ln>
                              </pic:spPr>
                            </pic:pic>
                          </a:graphicData>
                        </a:graphic>
                      </wp:inline>
                    </w:drawing>
                  </w:r>
                </w:p>
              </w:tc>
              <w:tc>
                <w:tcPr>
                  <w:tcW w:w="4203" w:type="dxa"/>
                </w:tcPr>
                <w:p>
                  <w:pPr>
                    <w:spacing w:line="360" w:lineRule="auto"/>
                  </w:pPr>
                  <w:r>
                    <w:drawing>
                      <wp:inline distT="0" distB="0" distL="0" distR="0">
                        <wp:extent cx="2531745" cy="1898015"/>
                        <wp:effectExtent l="0" t="0" r="1905"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31745" cy="1898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2" w:type="dxa"/>
                </w:tcPr>
                <w:p>
                  <w:pPr>
                    <w:adjustRightInd w:val="0"/>
                    <w:snapToGrid w:val="0"/>
                    <w:spacing w:line="360" w:lineRule="auto"/>
                    <w:jc w:val="center"/>
                    <w:rPr>
                      <w:b/>
                      <w:kern w:val="36"/>
                      <w:sz w:val="21"/>
                    </w:rPr>
                  </w:pPr>
                  <w:r>
                    <w:rPr>
                      <w:rFonts w:hint="eastAsia"/>
                      <w:b/>
                      <w:kern w:val="36"/>
                      <w:sz w:val="21"/>
                    </w:rPr>
                    <w:t>图2-</w:t>
                  </w:r>
                  <w:r>
                    <w:rPr>
                      <w:b/>
                      <w:kern w:val="36"/>
                      <w:sz w:val="21"/>
                    </w:rPr>
                    <w:t xml:space="preserve">6 </w:t>
                  </w:r>
                  <w:r>
                    <w:rPr>
                      <w:rFonts w:hint="eastAsia"/>
                      <w:b/>
                      <w:kern w:val="36"/>
                      <w:sz w:val="21"/>
                    </w:rPr>
                    <w:t>北侧</w:t>
                  </w:r>
                </w:p>
              </w:tc>
              <w:tc>
                <w:tcPr>
                  <w:tcW w:w="4203" w:type="dxa"/>
                </w:tcPr>
                <w:p>
                  <w:pPr>
                    <w:adjustRightInd w:val="0"/>
                    <w:snapToGrid w:val="0"/>
                    <w:spacing w:line="360" w:lineRule="auto"/>
                    <w:jc w:val="center"/>
                    <w:rPr>
                      <w:b/>
                      <w:kern w:val="36"/>
                      <w:sz w:val="21"/>
                    </w:rPr>
                  </w:pPr>
                  <w:r>
                    <w:rPr>
                      <w:rFonts w:hint="eastAsia"/>
                      <w:b/>
                      <w:kern w:val="36"/>
                      <w:sz w:val="21"/>
                    </w:rPr>
                    <w:t>图2-</w:t>
                  </w:r>
                  <w:r>
                    <w:rPr>
                      <w:b/>
                      <w:kern w:val="36"/>
                      <w:sz w:val="21"/>
                    </w:rPr>
                    <w:t xml:space="preserve">7 </w:t>
                  </w:r>
                  <w:r>
                    <w:rPr>
                      <w:rFonts w:hint="eastAsia"/>
                      <w:b/>
                      <w:kern w:val="36"/>
                      <w:sz w:val="21"/>
                    </w:rPr>
                    <w:t>东侧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2" w:type="dxa"/>
                </w:tcPr>
                <w:p>
                  <w:pPr>
                    <w:spacing w:line="360" w:lineRule="auto"/>
                  </w:pPr>
                  <w:r>
                    <w:drawing>
                      <wp:inline distT="0" distB="0" distL="0" distR="0">
                        <wp:extent cx="2531110" cy="18973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31110" cy="1897380"/>
                                </a:xfrm>
                                <a:prstGeom prst="rect">
                                  <a:avLst/>
                                </a:prstGeom>
                                <a:noFill/>
                                <a:ln>
                                  <a:noFill/>
                                </a:ln>
                              </pic:spPr>
                            </pic:pic>
                          </a:graphicData>
                        </a:graphic>
                      </wp:inline>
                    </w:drawing>
                  </w:r>
                </w:p>
              </w:tc>
              <w:tc>
                <w:tcPr>
                  <w:tcW w:w="4203" w:type="dxa"/>
                </w:tcPr>
                <w:p>
                  <w:pPr>
                    <w:spacing w:line="360" w:lineRule="auto"/>
                  </w:pPr>
                  <w:r>
                    <w:drawing>
                      <wp:inline distT="0" distB="0" distL="0" distR="0">
                        <wp:extent cx="2531745" cy="1898015"/>
                        <wp:effectExtent l="0" t="0" r="190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531745" cy="1898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02" w:type="dxa"/>
                </w:tcPr>
                <w:p>
                  <w:pPr>
                    <w:adjustRightInd w:val="0"/>
                    <w:snapToGrid w:val="0"/>
                    <w:spacing w:line="360" w:lineRule="auto"/>
                    <w:jc w:val="center"/>
                    <w:rPr>
                      <w:b/>
                      <w:kern w:val="36"/>
                      <w:sz w:val="21"/>
                    </w:rPr>
                  </w:pPr>
                  <w:r>
                    <w:rPr>
                      <w:rFonts w:hint="eastAsia"/>
                      <w:b/>
                      <w:kern w:val="36"/>
                      <w:sz w:val="21"/>
                    </w:rPr>
                    <w:t>图2-</w:t>
                  </w:r>
                  <w:r>
                    <w:rPr>
                      <w:b/>
                      <w:kern w:val="36"/>
                      <w:sz w:val="21"/>
                    </w:rPr>
                    <w:t xml:space="preserve">8 </w:t>
                  </w:r>
                  <w:r>
                    <w:rPr>
                      <w:rFonts w:hint="eastAsia"/>
                      <w:b/>
                      <w:kern w:val="36"/>
                      <w:sz w:val="21"/>
                    </w:rPr>
                    <w:t>南侧</w:t>
                  </w:r>
                </w:p>
              </w:tc>
              <w:tc>
                <w:tcPr>
                  <w:tcW w:w="4203" w:type="dxa"/>
                </w:tcPr>
                <w:p>
                  <w:pPr>
                    <w:adjustRightInd w:val="0"/>
                    <w:snapToGrid w:val="0"/>
                    <w:spacing w:line="360" w:lineRule="auto"/>
                    <w:jc w:val="center"/>
                    <w:rPr>
                      <w:b/>
                      <w:kern w:val="36"/>
                      <w:sz w:val="21"/>
                    </w:rPr>
                  </w:pPr>
                  <w:r>
                    <w:rPr>
                      <w:rFonts w:hint="eastAsia"/>
                      <w:b/>
                      <w:kern w:val="36"/>
                      <w:sz w:val="21"/>
                    </w:rPr>
                    <w:t>图2-</w:t>
                  </w:r>
                  <w:r>
                    <w:rPr>
                      <w:b/>
                      <w:kern w:val="36"/>
                      <w:sz w:val="21"/>
                    </w:rPr>
                    <w:t xml:space="preserve">9 </w:t>
                  </w:r>
                  <w:r>
                    <w:rPr>
                      <w:rFonts w:hint="eastAsia"/>
                      <w:b/>
                      <w:kern w:val="36"/>
                      <w:sz w:val="21"/>
                    </w:rPr>
                    <w:t>西侧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2" w:type="dxa"/>
                </w:tcPr>
                <w:p>
                  <w:pPr>
                    <w:spacing w:line="360" w:lineRule="auto"/>
                  </w:pPr>
                  <w:r>
                    <w:drawing>
                      <wp:inline distT="0" distB="0" distL="0" distR="0">
                        <wp:extent cx="2531110" cy="1897380"/>
                        <wp:effectExtent l="0" t="0" r="254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1110" cy="1897380"/>
                                </a:xfrm>
                                <a:prstGeom prst="rect">
                                  <a:avLst/>
                                </a:prstGeom>
                                <a:noFill/>
                                <a:ln>
                                  <a:noFill/>
                                </a:ln>
                              </pic:spPr>
                            </pic:pic>
                          </a:graphicData>
                        </a:graphic>
                      </wp:inline>
                    </w:drawing>
                  </w:r>
                </w:p>
              </w:tc>
              <w:tc>
                <w:tcPr>
                  <w:tcW w:w="4203" w:type="dxa"/>
                </w:tcPr>
                <w:p>
                  <w:pPr>
                    <w:spacing w:line="360" w:lineRule="auto"/>
                  </w:pPr>
                  <w:r>
                    <w:drawing>
                      <wp:inline distT="0" distB="0" distL="0" distR="0">
                        <wp:extent cx="2531745" cy="1898015"/>
                        <wp:effectExtent l="0" t="0" r="190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31745" cy="1898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2" w:type="dxa"/>
                </w:tcPr>
                <w:p>
                  <w:pPr>
                    <w:adjustRightInd w:val="0"/>
                    <w:snapToGrid w:val="0"/>
                    <w:spacing w:line="360" w:lineRule="auto"/>
                    <w:jc w:val="center"/>
                    <w:rPr>
                      <w:b/>
                      <w:kern w:val="36"/>
                      <w:sz w:val="21"/>
                    </w:rPr>
                  </w:pPr>
                  <w:r>
                    <w:rPr>
                      <w:rFonts w:hint="eastAsia"/>
                      <w:b/>
                      <w:kern w:val="36"/>
                      <w:sz w:val="21"/>
                    </w:rPr>
                    <w:t>图2-</w:t>
                  </w:r>
                  <w:r>
                    <w:rPr>
                      <w:b/>
                      <w:kern w:val="36"/>
                      <w:sz w:val="21"/>
                    </w:rPr>
                    <w:t xml:space="preserve">10 </w:t>
                  </w:r>
                  <w:r>
                    <w:rPr>
                      <w:rFonts w:hint="eastAsia"/>
                      <w:b/>
                      <w:kern w:val="36"/>
                      <w:sz w:val="21"/>
                    </w:rPr>
                    <w:t>现状1</w:t>
                  </w:r>
                </w:p>
              </w:tc>
              <w:tc>
                <w:tcPr>
                  <w:tcW w:w="4203" w:type="dxa"/>
                </w:tcPr>
                <w:p>
                  <w:pPr>
                    <w:adjustRightInd w:val="0"/>
                    <w:snapToGrid w:val="0"/>
                    <w:spacing w:line="360" w:lineRule="auto"/>
                    <w:jc w:val="center"/>
                    <w:rPr>
                      <w:b/>
                      <w:kern w:val="36"/>
                      <w:sz w:val="21"/>
                    </w:rPr>
                  </w:pPr>
                  <w:r>
                    <w:rPr>
                      <w:rFonts w:hint="eastAsia"/>
                      <w:b/>
                      <w:kern w:val="36"/>
                      <w:sz w:val="21"/>
                    </w:rPr>
                    <w:t>图2-</w:t>
                  </w:r>
                  <w:r>
                    <w:rPr>
                      <w:b/>
                      <w:kern w:val="36"/>
                      <w:sz w:val="21"/>
                    </w:rPr>
                    <w:t xml:space="preserve">11 </w:t>
                  </w:r>
                  <w:r>
                    <w:rPr>
                      <w:rFonts w:hint="eastAsia"/>
                      <w:b/>
                      <w:kern w:val="36"/>
                      <w:sz w:val="21"/>
                    </w:rPr>
                    <w:t>现状2</w:t>
                  </w:r>
                  <w:bookmarkStart w:id="20" w:name="_GoBack"/>
                  <w:bookmarkEnd w:id="20"/>
                </w:p>
              </w:tc>
            </w:tr>
            <w:bookmarkEnd w:id="10"/>
          </w:tbl>
          <w:p>
            <w:pPr>
              <w:adjustRightInd w:val="0"/>
              <w:snapToGrid w:val="0"/>
              <w:jc w:val="center"/>
              <w:rPr>
                <w:rFonts w:ascii="宋体" w:hAnsi="宋体"/>
                <w:bCs/>
              </w:rPr>
            </w:pPr>
          </w:p>
        </w:tc>
      </w:tr>
    </w:tbl>
    <w:p>
      <w:pPr>
        <w:pStyle w:val="44"/>
        <w:jc w:val="center"/>
        <w:rPr>
          <w:rFonts w:ascii="黑体" w:hAnsi="黑体" w:eastAsia="黑体"/>
          <w:snapToGrid w:val="0"/>
          <w:sz w:val="36"/>
          <w:szCs w:val="36"/>
        </w:rPr>
        <w:sectPr>
          <w:pgSz w:w="11906" w:h="16838"/>
          <w:pgMar w:top="1701" w:right="1531" w:bottom="1701" w:left="1531" w:header="851" w:footer="851" w:gutter="0"/>
          <w:cols w:space="720" w:num="1"/>
          <w:docGrid w:linePitch="312" w:charSpace="0"/>
        </w:sectPr>
      </w:pPr>
    </w:p>
    <w:p>
      <w:pPr>
        <w:pStyle w:val="44"/>
        <w:jc w:val="center"/>
        <w:outlineLvl w:val="0"/>
        <w:rPr>
          <w:rFonts w:ascii="黑体" w:hAnsi="黑体" w:eastAsia="黑体"/>
          <w:snapToGrid w:val="0"/>
          <w:sz w:val="30"/>
          <w:szCs w:val="30"/>
        </w:rPr>
      </w:pPr>
      <w:bookmarkStart w:id="11" w:name="_Toc86785880"/>
      <w:r>
        <w:rPr>
          <w:rFonts w:hint="eastAsia" w:ascii="黑体" w:hAnsi="黑体" w:eastAsia="黑体"/>
          <w:snapToGrid w:val="0"/>
          <w:sz w:val="30"/>
          <w:szCs w:val="30"/>
        </w:rPr>
        <w:t>三、区域环境质量现状、环境保护目标及评价标准</w:t>
      </w:r>
      <w:bookmarkEnd w:id="11"/>
    </w:p>
    <w:tbl>
      <w:tblPr>
        <w:tblStyle w:val="5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区域</w:t>
            </w:r>
          </w:p>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质量</w:t>
            </w:r>
          </w:p>
          <w:p>
            <w:pPr>
              <w:adjustRightInd w:val="0"/>
              <w:snapToGrid w:val="0"/>
              <w:jc w:val="center"/>
              <w:rPr>
                <w:rFonts w:ascii="宋体" w:hAnsi="宋体" w:cs="宋体"/>
                <w:kern w:val="0"/>
                <w:szCs w:val="21"/>
              </w:rPr>
            </w:pPr>
            <w:r>
              <w:rPr>
                <w:rFonts w:hint="eastAsia" w:ascii="宋体" w:hAnsi="宋体" w:cs="宋体"/>
                <w:kern w:val="0"/>
                <w:szCs w:val="21"/>
              </w:rPr>
              <w:t>现状</w:t>
            </w:r>
          </w:p>
        </w:tc>
        <w:tc>
          <w:tcPr>
            <w:tcW w:w="8190" w:type="dxa"/>
            <w:vAlign w:val="center"/>
          </w:tcPr>
          <w:p>
            <w:pPr>
              <w:tabs>
                <w:tab w:val="left" w:pos="945"/>
                <w:tab w:val="left" w:pos="1050"/>
              </w:tabs>
              <w:adjustRightInd w:val="0"/>
              <w:snapToGrid w:val="0"/>
              <w:spacing w:before="120" w:beforeLines="50" w:line="360" w:lineRule="auto"/>
              <w:ind w:left="120" w:leftChars="50" w:firstLine="472" w:firstLineChars="196"/>
              <w:jc w:val="left"/>
              <w:rPr>
                <w:b/>
                <w:bCs/>
              </w:rPr>
            </w:pPr>
            <w:r>
              <w:rPr>
                <w:b/>
                <w:bCs/>
              </w:rPr>
              <w:t>一、环境功能概况</w:t>
            </w:r>
          </w:p>
          <w:p>
            <w:pPr>
              <w:tabs>
                <w:tab w:val="left" w:pos="945"/>
                <w:tab w:val="left" w:pos="1050"/>
              </w:tabs>
              <w:adjustRightInd w:val="0"/>
              <w:snapToGrid w:val="0"/>
              <w:spacing w:line="360" w:lineRule="auto"/>
              <w:ind w:left="120" w:leftChars="50" w:firstLine="470" w:firstLineChars="196"/>
              <w:rPr>
                <w:bCs/>
              </w:rPr>
            </w:pPr>
            <w:r>
              <w:rPr>
                <w:rFonts w:hint="eastAsia"/>
                <w:bCs/>
              </w:rPr>
              <w:t>根据昌吉州环境功能划分，本区域环境空气属于《环境空气质量标准》（GB3095-2012）二类区，声环境属于《声环境质量标准》（GB3096-2008）3类区，地下水属于《地下水质量标准》（GB/T14848-2017）III 类区。</w:t>
            </w:r>
          </w:p>
          <w:p>
            <w:pPr>
              <w:tabs>
                <w:tab w:val="left" w:pos="945"/>
                <w:tab w:val="left" w:pos="1050"/>
              </w:tabs>
              <w:adjustRightInd w:val="0"/>
              <w:snapToGrid w:val="0"/>
              <w:spacing w:line="360" w:lineRule="auto"/>
              <w:ind w:left="120" w:leftChars="50" w:firstLine="472" w:firstLineChars="196"/>
              <w:rPr>
                <w:bCs/>
              </w:rPr>
            </w:pPr>
            <w:r>
              <w:rPr>
                <w:b/>
                <w:bCs/>
              </w:rPr>
              <w:t>二、环境质量现状</w:t>
            </w:r>
          </w:p>
          <w:p>
            <w:pPr>
              <w:adjustRightInd w:val="0"/>
              <w:snapToGrid w:val="0"/>
              <w:spacing w:line="360" w:lineRule="auto"/>
              <w:ind w:firstLine="480" w:firstLineChars="200"/>
              <w:rPr>
                <w:rFonts w:ascii="Calibri" w:hAnsi="Calibri"/>
              </w:rPr>
            </w:pPr>
            <w:r>
              <w:rPr>
                <w:rFonts w:hint="eastAsia" w:ascii="宋体" w:hAnsi="宋体"/>
              </w:rPr>
              <w:t>根据本项目的建设规模、地理位置及功能性质，对大气环境、声环境质量现状进行调查和评价。</w:t>
            </w:r>
          </w:p>
          <w:p>
            <w:pPr>
              <w:adjustRightInd w:val="0"/>
              <w:snapToGrid w:val="0"/>
              <w:spacing w:line="360" w:lineRule="auto"/>
              <w:ind w:firstLine="482" w:firstLineChars="200"/>
              <w:outlineLvl w:val="1"/>
              <w:rPr>
                <w:b/>
                <w:bCs/>
              </w:rPr>
            </w:pPr>
            <w:bookmarkStart w:id="12" w:name="_Toc86785881"/>
            <w:r>
              <w:rPr>
                <w:b/>
                <w:bCs/>
              </w:rPr>
              <w:t>1.</w:t>
            </w:r>
            <w:r>
              <w:rPr>
                <w:rFonts w:ascii="宋体" w:hAnsi="宋体"/>
                <w:b/>
                <w:bCs/>
              </w:rPr>
              <w:t>空气环境质量现状调查与评价</w:t>
            </w:r>
            <w:bookmarkEnd w:id="12"/>
          </w:p>
          <w:p>
            <w:pPr>
              <w:adjustRightInd w:val="0"/>
              <w:snapToGrid w:val="0"/>
              <w:spacing w:line="360" w:lineRule="auto"/>
              <w:ind w:firstLine="482" w:firstLineChars="200"/>
              <w:rPr>
                <w:b/>
                <w:bCs/>
              </w:rPr>
            </w:pPr>
            <w:r>
              <w:rPr>
                <w:rFonts w:hint="eastAsia"/>
                <w:b/>
                <w:bCs/>
              </w:rPr>
              <w:t>1.1常规污染物</w:t>
            </w:r>
          </w:p>
          <w:p>
            <w:pPr>
              <w:spacing w:line="360" w:lineRule="auto"/>
              <w:ind w:firstLine="482" w:firstLineChars="200"/>
              <w:rPr>
                <w:b/>
                <w:bCs/>
              </w:rPr>
            </w:pPr>
            <w:r>
              <w:rPr>
                <w:rFonts w:hint="eastAsia" w:ascii="宋体" w:hAnsi="宋体"/>
                <w:b/>
                <w:bCs/>
              </w:rPr>
              <w:t>（</w:t>
            </w:r>
            <w:r>
              <w:rPr>
                <w:rFonts w:ascii="宋体" w:hAnsi="宋体"/>
                <w:b/>
                <w:bCs/>
              </w:rPr>
              <w:t>1</w:t>
            </w:r>
            <w:r>
              <w:rPr>
                <w:rFonts w:hint="eastAsia" w:ascii="宋体" w:hAnsi="宋体"/>
                <w:b/>
                <w:bCs/>
              </w:rPr>
              <w:t>）数据来源</w:t>
            </w:r>
          </w:p>
          <w:p>
            <w:pPr>
              <w:spacing w:line="360" w:lineRule="auto"/>
              <w:ind w:firstLine="480" w:firstLineChars="200"/>
              <w:rPr>
                <w:color w:val="FF0000"/>
              </w:rPr>
            </w:pPr>
            <w:r>
              <w:rPr>
                <w:rFonts w:ascii="宋体" w:hAnsi="宋体"/>
                <w:color w:val="FF0000"/>
              </w:rPr>
              <w:t>基本污染物：收集了</w:t>
            </w:r>
            <w:r>
              <w:rPr>
                <w:rFonts w:hint="eastAsia" w:ascii="宋体" w:hAnsi="宋体"/>
                <w:color w:val="FF0000"/>
              </w:rPr>
              <w:t>环境质量现状评价采用真气网站（</w:t>
            </w:r>
            <w:r>
              <w:rPr>
                <w:color w:val="FF0000"/>
              </w:rPr>
              <w:t>https://www.zq12369.com/environment.php?city=%E6%98%8C%E5%90%89%E5%B7%9E&amp;tab=city</w:t>
            </w:r>
            <w:r>
              <w:rPr>
                <w:rFonts w:hint="eastAsia" w:ascii="宋体" w:hAnsi="宋体"/>
                <w:color w:val="FF0000"/>
              </w:rPr>
              <w:t>）</w:t>
            </w:r>
            <w:r>
              <w:rPr>
                <w:rFonts w:ascii="宋体" w:hAnsi="宋体"/>
                <w:color w:val="FF0000"/>
              </w:rPr>
              <w:t>发布的</w:t>
            </w:r>
            <w:r>
              <w:rPr>
                <w:rFonts w:hint="eastAsia"/>
                <w:color w:val="FF0000"/>
              </w:rPr>
              <w:t>2021</w:t>
            </w:r>
            <w:r>
              <w:rPr>
                <w:rFonts w:hint="eastAsia" w:ascii="宋体" w:hAnsi="宋体"/>
                <w:color w:val="FF0000"/>
              </w:rPr>
              <w:t>年</w:t>
            </w:r>
            <w:r>
              <w:rPr>
                <w:rFonts w:hint="eastAsia"/>
                <w:color w:val="FF0000"/>
              </w:rPr>
              <w:t>1</w:t>
            </w:r>
            <w:r>
              <w:rPr>
                <w:rFonts w:hint="eastAsia" w:ascii="宋体" w:hAnsi="宋体"/>
                <w:color w:val="FF0000"/>
              </w:rPr>
              <w:t>月</w:t>
            </w:r>
            <w:r>
              <w:rPr>
                <w:rFonts w:hint="eastAsia"/>
                <w:color w:val="FF0000"/>
              </w:rPr>
              <w:t>1</w:t>
            </w:r>
            <w:r>
              <w:rPr>
                <w:rFonts w:hint="eastAsia" w:ascii="宋体" w:hAnsi="宋体"/>
                <w:color w:val="FF0000"/>
              </w:rPr>
              <w:t>日至</w:t>
            </w:r>
            <w:r>
              <w:rPr>
                <w:rFonts w:hint="eastAsia"/>
                <w:color w:val="FF0000"/>
              </w:rPr>
              <w:t>2021</w:t>
            </w:r>
            <w:r>
              <w:rPr>
                <w:rFonts w:hint="eastAsia" w:ascii="宋体" w:hAnsi="宋体"/>
                <w:color w:val="FF0000"/>
              </w:rPr>
              <w:t>年</w:t>
            </w:r>
            <w:r>
              <w:rPr>
                <w:rFonts w:hint="eastAsia"/>
                <w:color w:val="FF0000"/>
              </w:rPr>
              <w:t>12</w:t>
            </w:r>
            <w:r>
              <w:rPr>
                <w:rFonts w:hint="eastAsia" w:ascii="宋体" w:hAnsi="宋体"/>
                <w:color w:val="FF0000"/>
              </w:rPr>
              <w:t>月</w:t>
            </w:r>
            <w:r>
              <w:rPr>
                <w:rFonts w:hint="eastAsia"/>
                <w:color w:val="FF0000"/>
              </w:rPr>
              <w:t>31</w:t>
            </w:r>
            <w:r>
              <w:rPr>
                <w:rFonts w:hint="eastAsia" w:ascii="宋体" w:hAnsi="宋体"/>
                <w:color w:val="FF0000"/>
              </w:rPr>
              <w:t>日昌吉市新区政务中心站点</w:t>
            </w:r>
            <w:r>
              <w:rPr>
                <w:color w:val="FF0000"/>
              </w:rPr>
              <w:t>NO</w:t>
            </w:r>
            <w:r>
              <w:rPr>
                <w:color w:val="FF0000"/>
                <w:vertAlign w:val="subscript"/>
              </w:rPr>
              <w:t>2</w:t>
            </w:r>
            <w:r>
              <w:rPr>
                <w:rFonts w:ascii="宋体" w:hAnsi="宋体"/>
                <w:color w:val="FF0000"/>
              </w:rPr>
              <w:t>、</w:t>
            </w:r>
            <w:r>
              <w:rPr>
                <w:color w:val="FF0000"/>
              </w:rPr>
              <w:t>SO</w:t>
            </w:r>
            <w:r>
              <w:rPr>
                <w:color w:val="FF0000"/>
                <w:vertAlign w:val="subscript"/>
              </w:rPr>
              <w:t>2</w:t>
            </w:r>
            <w:r>
              <w:rPr>
                <w:rFonts w:ascii="宋体" w:hAnsi="宋体"/>
                <w:color w:val="FF0000"/>
              </w:rPr>
              <w:t>、</w:t>
            </w:r>
            <w:r>
              <w:rPr>
                <w:color w:val="FF0000"/>
              </w:rPr>
              <w:t>PM</w:t>
            </w:r>
            <w:r>
              <w:rPr>
                <w:color w:val="FF0000"/>
                <w:vertAlign w:val="subscript"/>
              </w:rPr>
              <w:t>10</w:t>
            </w:r>
            <w:r>
              <w:rPr>
                <w:rFonts w:ascii="宋体" w:hAnsi="宋体"/>
                <w:color w:val="FF0000"/>
              </w:rPr>
              <w:t>、</w:t>
            </w:r>
            <w:r>
              <w:rPr>
                <w:color w:val="FF0000"/>
              </w:rPr>
              <w:t>PM</w:t>
            </w:r>
            <w:r>
              <w:rPr>
                <w:color w:val="FF0000"/>
                <w:vertAlign w:val="subscript"/>
              </w:rPr>
              <w:t>2.5</w:t>
            </w:r>
            <w:r>
              <w:rPr>
                <w:rFonts w:ascii="宋体" w:hAnsi="宋体"/>
                <w:color w:val="FF0000"/>
              </w:rPr>
              <w:t>、</w:t>
            </w:r>
            <w:r>
              <w:rPr>
                <w:color w:val="FF0000"/>
              </w:rPr>
              <w:t>CO</w:t>
            </w:r>
            <w:r>
              <w:rPr>
                <w:rFonts w:ascii="宋体" w:hAnsi="宋体"/>
                <w:color w:val="FF0000"/>
              </w:rPr>
              <w:t>、</w:t>
            </w:r>
            <w:r>
              <w:rPr>
                <w:color w:val="FF0000"/>
              </w:rPr>
              <w:t>O</w:t>
            </w:r>
            <w:r>
              <w:rPr>
                <w:color w:val="FF0000"/>
                <w:vertAlign w:val="subscript"/>
              </w:rPr>
              <w:t>3</w:t>
            </w:r>
            <w:r>
              <w:rPr>
                <w:rFonts w:ascii="宋体" w:hAnsi="宋体"/>
                <w:color w:val="FF0000"/>
              </w:rPr>
              <w:t>六项基本污染物的</w:t>
            </w:r>
            <w:r>
              <w:rPr>
                <w:color w:val="FF0000"/>
              </w:rPr>
              <w:t>2</w:t>
            </w:r>
            <w:r>
              <w:rPr>
                <w:rFonts w:hint="eastAsia"/>
                <w:color w:val="FF0000"/>
              </w:rPr>
              <w:t>021</w:t>
            </w:r>
            <w:r>
              <w:rPr>
                <w:rFonts w:ascii="宋体" w:hAnsi="宋体"/>
                <w:color w:val="FF0000"/>
              </w:rPr>
              <w:t>年全年监测数据</w:t>
            </w:r>
            <w:r>
              <w:rPr>
                <w:rFonts w:hint="eastAsia" w:ascii="宋体" w:hAnsi="宋体"/>
                <w:color w:val="FF0000"/>
              </w:rPr>
              <w:t>作为本次评价依据</w:t>
            </w:r>
            <w:r>
              <w:rPr>
                <w:rFonts w:ascii="宋体" w:hAnsi="宋体"/>
                <w:color w:val="FF0000"/>
              </w:rPr>
              <w:t>。</w:t>
            </w:r>
            <w:r>
              <w:rPr>
                <w:rFonts w:hint="eastAsia" w:ascii="宋体" w:hAnsi="宋体"/>
                <w:color w:val="FF0000"/>
              </w:rPr>
              <w:t>本工程位于高新技术产业开发区，根据建设项目环境影响报告表编制指南，常规污染物引用与建设项目距离近的有效数据，故本次引用新区政务中心站点国控点的数据，该监测点位于昌吉市乌伊路与世纪大道交汇处。</w:t>
            </w:r>
          </w:p>
          <w:p>
            <w:pPr>
              <w:spacing w:line="360" w:lineRule="auto"/>
              <w:ind w:firstLine="480" w:firstLineChars="200"/>
              <w:rPr>
                <w:rFonts w:ascii="宋体" w:hAnsi="宋体"/>
                <w:bCs/>
                <w:color w:val="FF0000"/>
              </w:rPr>
            </w:pPr>
            <w:r>
              <w:rPr>
                <w:rFonts w:hint="eastAsia" w:ascii="宋体" w:hAnsi="宋体"/>
                <w:bCs/>
                <w:color w:val="FF0000"/>
              </w:rPr>
              <w:t>项目所在区域环境空气质量执行《环境空气质量标准》（GB3095-2012）二级标准。环境空气质量标准限值见表3-1。</w:t>
            </w:r>
          </w:p>
          <w:p>
            <w:pPr>
              <w:spacing w:line="360" w:lineRule="auto"/>
              <w:jc w:val="center"/>
              <w:rPr>
                <w:b/>
                <w:color w:val="FF0000"/>
                <w:sz w:val="21"/>
                <w:szCs w:val="21"/>
              </w:rPr>
            </w:pPr>
            <w:r>
              <w:rPr>
                <w:rFonts w:hint="eastAsia"/>
                <w:b/>
                <w:color w:val="FF0000"/>
                <w:sz w:val="21"/>
                <w:szCs w:val="21"/>
              </w:rPr>
              <w:t xml:space="preserve">表3-1　环境空气质量标准    </w:t>
            </w:r>
            <w:r>
              <w:rPr>
                <w:rFonts w:hint="eastAsia"/>
                <w:b/>
                <w:color w:val="FF0000"/>
                <w:sz w:val="18"/>
                <w:szCs w:val="18"/>
              </w:rPr>
              <w:t>ug/m</w:t>
            </w:r>
            <w:r>
              <w:rPr>
                <w:rFonts w:hint="eastAsia"/>
                <w:b/>
                <w:color w:val="FF0000"/>
                <w:sz w:val="18"/>
                <w:szCs w:val="18"/>
                <w:vertAlign w:val="superscript"/>
              </w:rPr>
              <w:t>3</w:t>
            </w:r>
            <w:r>
              <w:rPr>
                <w:rFonts w:hint="eastAsia"/>
                <w:b/>
                <w:color w:val="FF0000"/>
                <w:sz w:val="18"/>
                <w:szCs w:val="18"/>
              </w:rPr>
              <w:t xml:space="preserve"> </w:t>
            </w:r>
          </w:p>
          <w:tbl>
            <w:tblPr>
              <w:tblStyle w:val="50"/>
              <w:tblW w:w="79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2227"/>
              <w:gridCol w:w="1185"/>
              <w:gridCol w:w="1155"/>
              <w:gridCol w:w="961"/>
              <w:gridCol w:w="127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dxa"/>
                  <w:vAlign w:val="center"/>
                </w:tcPr>
                <w:p>
                  <w:pPr>
                    <w:pStyle w:val="175"/>
                    <w:spacing w:before="72" w:after="72"/>
                    <w:rPr>
                      <w:b/>
                      <w:color w:val="FF0000"/>
                      <w:sz w:val="21"/>
                    </w:rPr>
                  </w:pPr>
                  <w:r>
                    <w:rPr>
                      <w:b/>
                      <w:color w:val="FF0000"/>
                      <w:sz w:val="21"/>
                    </w:rPr>
                    <w:t>污染物</w:t>
                  </w:r>
                </w:p>
              </w:tc>
              <w:tc>
                <w:tcPr>
                  <w:tcW w:w="2227" w:type="dxa"/>
                  <w:vAlign w:val="center"/>
                </w:tcPr>
                <w:p>
                  <w:pPr>
                    <w:pStyle w:val="175"/>
                    <w:spacing w:before="72" w:after="72"/>
                    <w:rPr>
                      <w:b/>
                      <w:color w:val="FF0000"/>
                      <w:sz w:val="21"/>
                    </w:rPr>
                  </w:pPr>
                  <w:r>
                    <w:rPr>
                      <w:b/>
                      <w:color w:val="FF0000"/>
                      <w:sz w:val="21"/>
                    </w:rPr>
                    <w:t>年评价指标</w:t>
                  </w:r>
                </w:p>
              </w:tc>
              <w:tc>
                <w:tcPr>
                  <w:tcW w:w="1185" w:type="dxa"/>
                  <w:vAlign w:val="center"/>
                </w:tcPr>
                <w:p>
                  <w:pPr>
                    <w:pStyle w:val="175"/>
                    <w:spacing w:before="72" w:after="72"/>
                    <w:rPr>
                      <w:b/>
                      <w:color w:val="FF0000"/>
                      <w:sz w:val="21"/>
                    </w:rPr>
                  </w:pPr>
                  <w:r>
                    <w:rPr>
                      <w:b/>
                      <w:color w:val="FF0000"/>
                      <w:sz w:val="21"/>
                    </w:rPr>
                    <w:t>现状浓度</w:t>
                  </w:r>
                </w:p>
              </w:tc>
              <w:tc>
                <w:tcPr>
                  <w:tcW w:w="1155" w:type="dxa"/>
                  <w:vAlign w:val="center"/>
                </w:tcPr>
                <w:p>
                  <w:pPr>
                    <w:pStyle w:val="175"/>
                    <w:spacing w:before="72" w:after="72"/>
                    <w:rPr>
                      <w:b/>
                      <w:color w:val="FF0000"/>
                      <w:sz w:val="21"/>
                    </w:rPr>
                  </w:pPr>
                  <w:r>
                    <w:rPr>
                      <w:b/>
                      <w:color w:val="FF0000"/>
                      <w:sz w:val="21"/>
                    </w:rPr>
                    <w:t>评价标准</w:t>
                  </w:r>
                </w:p>
              </w:tc>
              <w:tc>
                <w:tcPr>
                  <w:tcW w:w="961" w:type="dxa"/>
                  <w:vAlign w:val="center"/>
                </w:tcPr>
                <w:p>
                  <w:pPr>
                    <w:pStyle w:val="175"/>
                    <w:spacing w:before="72" w:after="72"/>
                    <w:rPr>
                      <w:b/>
                      <w:color w:val="FF0000"/>
                      <w:sz w:val="21"/>
                    </w:rPr>
                  </w:pPr>
                  <w:r>
                    <w:rPr>
                      <w:b/>
                      <w:color w:val="FF0000"/>
                      <w:sz w:val="21"/>
                    </w:rPr>
                    <w:t>占标率</w:t>
                  </w:r>
                </w:p>
              </w:tc>
              <w:tc>
                <w:tcPr>
                  <w:tcW w:w="1277" w:type="dxa"/>
                  <w:vAlign w:val="center"/>
                </w:tcPr>
                <w:p>
                  <w:pPr>
                    <w:pStyle w:val="175"/>
                    <w:spacing w:before="72" w:after="72"/>
                    <w:rPr>
                      <w:b/>
                      <w:color w:val="FF0000"/>
                      <w:sz w:val="21"/>
                    </w:rPr>
                  </w:pPr>
                  <w:r>
                    <w:rPr>
                      <w:b/>
                      <w:color w:val="FF0000"/>
                      <w:sz w:val="21"/>
                    </w:rPr>
                    <w:t>达标情况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dxa"/>
                  <w:vAlign w:val="center"/>
                </w:tcPr>
                <w:p>
                  <w:pPr>
                    <w:pStyle w:val="175"/>
                    <w:spacing w:before="72" w:after="72"/>
                    <w:rPr>
                      <w:color w:val="FF0000"/>
                      <w:sz w:val="21"/>
                    </w:rPr>
                  </w:pPr>
                  <w:r>
                    <w:rPr>
                      <w:color w:val="FF0000"/>
                      <w:sz w:val="21"/>
                    </w:rPr>
                    <w:t>SO</w:t>
                  </w:r>
                  <w:r>
                    <w:rPr>
                      <w:color w:val="FF0000"/>
                      <w:sz w:val="21"/>
                      <w:vertAlign w:val="subscript"/>
                    </w:rPr>
                    <w:t>2</w:t>
                  </w:r>
                </w:p>
              </w:tc>
              <w:tc>
                <w:tcPr>
                  <w:tcW w:w="2227" w:type="dxa"/>
                  <w:vAlign w:val="center"/>
                </w:tcPr>
                <w:p>
                  <w:pPr>
                    <w:pStyle w:val="175"/>
                    <w:spacing w:before="72" w:after="72"/>
                    <w:rPr>
                      <w:color w:val="FF0000"/>
                      <w:sz w:val="21"/>
                    </w:rPr>
                  </w:pPr>
                  <w:r>
                    <w:rPr>
                      <w:color w:val="FF0000"/>
                      <w:sz w:val="21"/>
                    </w:rPr>
                    <w:t>年平均质量浓度</w:t>
                  </w:r>
                </w:p>
              </w:tc>
              <w:tc>
                <w:tcPr>
                  <w:tcW w:w="1185" w:type="dxa"/>
                  <w:vAlign w:val="center"/>
                </w:tcPr>
                <w:p>
                  <w:pPr>
                    <w:pStyle w:val="175"/>
                    <w:spacing w:before="72" w:after="72"/>
                    <w:rPr>
                      <w:color w:val="FF0000"/>
                      <w:sz w:val="21"/>
                    </w:rPr>
                  </w:pPr>
                  <w:r>
                    <w:rPr>
                      <w:color w:val="FF0000"/>
                      <w:sz w:val="21"/>
                    </w:rPr>
                    <w:t>10</w:t>
                  </w:r>
                </w:p>
              </w:tc>
              <w:tc>
                <w:tcPr>
                  <w:tcW w:w="1155" w:type="dxa"/>
                  <w:vAlign w:val="center"/>
                </w:tcPr>
                <w:p>
                  <w:pPr>
                    <w:pStyle w:val="175"/>
                    <w:spacing w:before="72" w:after="72"/>
                    <w:rPr>
                      <w:color w:val="FF0000"/>
                      <w:sz w:val="21"/>
                    </w:rPr>
                  </w:pPr>
                  <w:r>
                    <w:rPr>
                      <w:color w:val="FF0000"/>
                      <w:sz w:val="21"/>
                    </w:rPr>
                    <w:t>60</w:t>
                  </w:r>
                </w:p>
              </w:tc>
              <w:tc>
                <w:tcPr>
                  <w:tcW w:w="961" w:type="dxa"/>
                  <w:vAlign w:val="center"/>
                </w:tcPr>
                <w:p>
                  <w:pPr>
                    <w:pStyle w:val="175"/>
                    <w:spacing w:before="72" w:after="72"/>
                    <w:rPr>
                      <w:color w:val="FF0000"/>
                      <w:sz w:val="21"/>
                    </w:rPr>
                  </w:pPr>
                  <w:r>
                    <w:rPr>
                      <w:color w:val="FF0000"/>
                      <w:sz w:val="21"/>
                    </w:rPr>
                    <w:t>16.67</w:t>
                  </w:r>
                </w:p>
              </w:tc>
              <w:tc>
                <w:tcPr>
                  <w:tcW w:w="1277" w:type="dxa"/>
                  <w:vAlign w:val="center"/>
                </w:tcPr>
                <w:p>
                  <w:pPr>
                    <w:pStyle w:val="175"/>
                    <w:spacing w:before="72" w:after="72"/>
                    <w:rPr>
                      <w:color w:val="FF0000"/>
                      <w:sz w:val="21"/>
                    </w:rPr>
                  </w:pPr>
                  <w:r>
                    <w:rPr>
                      <w:color w:val="FF0000"/>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dxa"/>
                  <w:vAlign w:val="center"/>
                </w:tcPr>
                <w:p>
                  <w:pPr>
                    <w:pStyle w:val="175"/>
                    <w:spacing w:before="72" w:after="72"/>
                    <w:rPr>
                      <w:color w:val="FF0000"/>
                      <w:sz w:val="21"/>
                    </w:rPr>
                  </w:pPr>
                  <w:r>
                    <w:rPr>
                      <w:color w:val="FF0000"/>
                      <w:sz w:val="21"/>
                    </w:rPr>
                    <w:t>NO</w:t>
                  </w:r>
                  <w:r>
                    <w:rPr>
                      <w:color w:val="FF0000"/>
                      <w:sz w:val="21"/>
                      <w:vertAlign w:val="subscript"/>
                    </w:rPr>
                    <w:t>2</w:t>
                  </w:r>
                </w:p>
              </w:tc>
              <w:tc>
                <w:tcPr>
                  <w:tcW w:w="2227" w:type="dxa"/>
                  <w:vAlign w:val="center"/>
                </w:tcPr>
                <w:p>
                  <w:pPr>
                    <w:pStyle w:val="175"/>
                    <w:spacing w:before="72" w:after="72"/>
                    <w:rPr>
                      <w:color w:val="FF0000"/>
                      <w:sz w:val="21"/>
                    </w:rPr>
                  </w:pPr>
                  <w:r>
                    <w:rPr>
                      <w:color w:val="FF0000"/>
                      <w:sz w:val="21"/>
                    </w:rPr>
                    <w:t>年平均质量浓度</w:t>
                  </w:r>
                </w:p>
              </w:tc>
              <w:tc>
                <w:tcPr>
                  <w:tcW w:w="1185" w:type="dxa"/>
                  <w:vAlign w:val="center"/>
                </w:tcPr>
                <w:p>
                  <w:pPr>
                    <w:pStyle w:val="175"/>
                    <w:spacing w:before="72" w:after="72"/>
                    <w:rPr>
                      <w:color w:val="FF0000"/>
                      <w:sz w:val="21"/>
                    </w:rPr>
                  </w:pPr>
                  <w:r>
                    <w:rPr>
                      <w:color w:val="FF0000"/>
                      <w:sz w:val="21"/>
                    </w:rPr>
                    <w:t>34</w:t>
                  </w:r>
                </w:p>
              </w:tc>
              <w:tc>
                <w:tcPr>
                  <w:tcW w:w="1155" w:type="dxa"/>
                  <w:vAlign w:val="center"/>
                </w:tcPr>
                <w:p>
                  <w:pPr>
                    <w:pStyle w:val="175"/>
                    <w:spacing w:before="72" w:after="72"/>
                    <w:rPr>
                      <w:color w:val="FF0000"/>
                      <w:sz w:val="21"/>
                    </w:rPr>
                  </w:pPr>
                  <w:r>
                    <w:rPr>
                      <w:color w:val="FF0000"/>
                      <w:sz w:val="21"/>
                    </w:rPr>
                    <w:t>40</w:t>
                  </w:r>
                </w:p>
              </w:tc>
              <w:tc>
                <w:tcPr>
                  <w:tcW w:w="961" w:type="dxa"/>
                  <w:vAlign w:val="center"/>
                </w:tcPr>
                <w:p>
                  <w:pPr>
                    <w:pStyle w:val="175"/>
                    <w:spacing w:before="72" w:after="72"/>
                    <w:rPr>
                      <w:color w:val="FF0000"/>
                      <w:sz w:val="21"/>
                    </w:rPr>
                  </w:pPr>
                  <w:r>
                    <w:rPr>
                      <w:color w:val="FF0000"/>
                      <w:sz w:val="21"/>
                    </w:rPr>
                    <w:t>85.00</w:t>
                  </w:r>
                </w:p>
              </w:tc>
              <w:tc>
                <w:tcPr>
                  <w:tcW w:w="1277" w:type="dxa"/>
                  <w:vAlign w:val="center"/>
                </w:tcPr>
                <w:p>
                  <w:pPr>
                    <w:pStyle w:val="175"/>
                    <w:spacing w:before="72" w:after="72"/>
                    <w:rPr>
                      <w:color w:val="FF0000"/>
                      <w:sz w:val="21"/>
                    </w:rPr>
                  </w:pPr>
                  <w:r>
                    <w:rPr>
                      <w:color w:val="FF0000"/>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dxa"/>
                  <w:vAlign w:val="center"/>
                </w:tcPr>
                <w:p>
                  <w:pPr>
                    <w:pStyle w:val="175"/>
                    <w:spacing w:before="72" w:after="72"/>
                    <w:rPr>
                      <w:color w:val="FF0000"/>
                      <w:sz w:val="21"/>
                    </w:rPr>
                  </w:pPr>
                  <w:r>
                    <w:rPr>
                      <w:color w:val="FF0000"/>
                      <w:sz w:val="21"/>
                    </w:rPr>
                    <w:t>PM</w:t>
                  </w:r>
                  <w:r>
                    <w:rPr>
                      <w:color w:val="FF0000"/>
                      <w:sz w:val="21"/>
                      <w:vertAlign w:val="subscript"/>
                    </w:rPr>
                    <w:t>10</w:t>
                  </w:r>
                </w:p>
              </w:tc>
              <w:tc>
                <w:tcPr>
                  <w:tcW w:w="2227" w:type="dxa"/>
                  <w:vAlign w:val="center"/>
                </w:tcPr>
                <w:p>
                  <w:pPr>
                    <w:pStyle w:val="175"/>
                    <w:spacing w:before="72" w:after="72"/>
                    <w:rPr>
                      <w:color w:val="FF0000"/>
                      <w:sz w:val="21"/>
                    </w:rPr>
                  </w:pPr>
                  <w:r>
                    <w:rPr>
                      <w:color w:val="FF0000"/>
                      <w:sz w:val="21"/>
                    </w:rPr>
                    <w:t>年平均质量浓度</w:t>
                  </w:r>
                </w:p>
              </w:tc>
              <w:tc>
                <w:tcPr>
                  <w:tcW w:w="1185" w:type="dxa"/>
                  <w:vAlign w:val="center"/>
                </w:tcPr>
                <w:p>
                  <w:pPr>
                    <w:pStyle w:val="175"/>
                    <w:spacing w:before="72" w:after="72"/>
                    <w:rPr>
                      <w:color w:val="FF0000"/>
                      <w:sz w:val="21"/>
                    </w:rPr>
                  </w:pPr>
                  <w:r>
                    <w:rPr>
                      <w:color w:val="FF0000"/>
                      <w:sz w:val="21"/>
                    </w:rPr>
                    <w:t>84</w:t>
                  </w:r>
                </w:p>
              </w:tc>
              <w:tc>
                <w:tcPr>
                  <w:tcW w:w="1155" w:type="dxa"/>
                  <w:vAlign w:val="center"/>
                </w:tcPr>
                <w:p>
                  <w:pPr>
                    <w:pStyle w:val="175"/>
                    <w:spacing w:before="72" w:after="72"/>
                    <w:rPr>
                      <w:color w:val="FF0000"/>
                      <w:sz w:val="21"/>
                    </w:rPr>
                  </w:pPr>
                  <w:r>
                    <w:rPr>
                      <w:color w:val="FF0000"/>
                      <w:sz w:val="21"/>
                    </w:rPr>
                    <w:t>70</w:t>
                  </w:r>
                </w:p>
              </w:tc>
              <w:tc>
                <w:tcPr>
                  <w:tcW w:w="961" w:type="dxa"/>
                  <w:vAlign w:val="center"/>
                </w:tcPr>
                <w:p>
                  <w:pPr>
                    <w:pStyle w:val="175"/>
                    <w:spacing w:before="72" w:after="72"/>
                    <w:rPr>
                      <w:color w:val="FF0000"/>
                      <w:sz w:val="21"/>
                    </w:rPr>
                  </w:pPr>
                  <w:r>
                    <w:rPr>
                      <w:color w:val="FF0000"/>
                      <w:sz w:val="21"/>
                    </w:rPr>
                    <w:t>120.00</w:t>
                  </w:r>
                </w:p>
              </w:tc>
              <w:tc>
                <w:tcPr>
                  <w:tcW w:w="1277" w:type="dxa"/>
                  <w:vAlign w:val="center"/>
                </w:tcPr>
                <w:p>
                  <w:pPr>
                    <w:pStyle w:val="175"/>
                    <w:spacing w:before="72" w:after="72"/>
                    <w:rPr>
                      <w:color w:val="FF0000"/>
                      <w:sz w:val="21"/>
                    </w:rPr>
                  </w:pPr>
                  <w:r>
                    <w:rPr>
                      <w:color w:val="FF0000"/>
                      <w:sz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4" w:hRule="atLeast"/>
                <w:jc w:val="center"/>
              </w:trPr>
              <w:tc>
                <w:tcPr>
                  <w:tcW w:w="1132" w:type="dxa"/>
                  <w:vAlign w:val="center"/>
                </w:tcPr>
                <w:p>
                  <w:pPr>
                    <w:pStyle w:val="175"/>
                    <w:spacing w:before="72" w:after="72"/>
                    <w:rPr>
                      <w:color w:val="FF0000"/>
                      <w:sz w:val="21"/>
                    </w:rPr>
                  </w:pPr>
                  <w:r>
                    <w:rPr>
                      <w:color w:val="FF0000"/>
                      <w:sz w:val="21"/>
                    </w:rPr>
                    <w:t>PM</w:t>
                  </w:r>
                  <w:r>
                    <w:rPr>
                      <w:color w:val="FF0000"/>
                      <w:sz w:val="21"/>
                      <w:vertAlign w:val="subscript"/>
                    </w:rPr>
                    <w:t>2.5</w:t>
                  </w:r>
                </w:p>
              </w:tc>
              <w:tc>
                <w:tcPr>
                  <w:tcW w:w="2227" w:type="dxa"/>
                  <w:vAlign w:val="center"/>
                </w:tcPr>
                <w:p>
                  <w:pPr>
                    <w:pStyle w:val="175"/>
                    <w:spacing w:before="72" w:after="72"/>
                    <w:rPr>
                      <w:color w:val="FF0000"/>
                      <w:sz w:val="21"/>
                    </w:rPr>
                  </w:pPr>
                  <w:r>
                    <w:rPr>
                      <w:color w:val="FF0000"/>
                      <w:sz w:val="21"/>
                    </w:rPr>
                    <w:t>年平均质量浓度</w:t>
                  </w:r>
                </w:p>
              </w:tc>
              <w:tc>
                <w:tcPr>
                  <w:tcW w:w="1185" w:type="dxa"/>
                  <w:vAlign w:val="center"/>
                </w:tcPr>
                <w:p>
                  <w:pPr>
                    <w:pStyle w:val="175"/>
                    <w:spacing w:before="72" w:after="72"/>
                    <w:rPr>
                      <w:color w:val="FF0000"/>
                      <w:sz w:val="21"/>
                    </w:rPr>
                  </w:pPr>
                  <w:r>
                    <w:rPr>
                      <w:color w:val="FF0000"/>
                      <w:sz w:val="21"/>
                    </w:rPr>
                    <w:t>49</w:t>
                  </w:r>
                </w:p>
              </w:tc>
              <w:tc>
                <w:tcPr>
                  <w:tcW w:w="1155" w:type="dxa"/>
                  <w:vAlign w:val="center"/>
                </w:tcPr>
                <w:p>
                  <w:pPr>
                    <w:pStyle w:val="175"/>
                    <w:spacing w:before="72" w:after="72"/>
                    <w:rPr>
                      <w:color w:val="FF0000"/>
                      <w:sz w:val="21"/>
                    </w:rPr>
                  </w:pPr>
                  <w:r>
                    <w:rPr>
                      <w:color w:val="FF0000"/>
                      <w:sz w:val="21"/>
                    </w:rPr>
                    <w:t>35</w:t>
                  </w:r>
                </w:p>
              </w:tc>
              <w:tc>
                <w:tcPr>
                  <w:tcW w:w="961" w:type="dxa"/>
                  <w:vAlign w:val="center"/>
                </w:tcPr>
                <w:p>
                  <w:pPr>
                    <w:pStyle w:val="175"/>
                    <w:spacing w:before="72" w:after="72"/>
                    <w:rPr>
                      <w:color w:val="FF0000"/>
                      <w:sz w:val="21"/>
                    </w:rPr>
                  </w:pPr>
                  <w:r>
                    <w:rPr>
                      <w:color w:val="FF0000"/>
                      <w:sz w:val="21"/>
                    </w:rPr>
                    <w:t>140.00</w:t>
                  </w:r>
                </w:p>
              </w:tc>
              <w:tc>
                <w:tcPr>
                  <w:tcW w:w="1277" w:type="dxa"/>
                  <w:vAlign w:val="center"/>
                </w:tcPr>
                <w:p>
                  <w:pPr>
                    <w:pStyle w:val="175"/>
                    <w:spacing w:before="72" w:after="72"/>
                    <w:rPr>
                      <w:color w:val="FF0000"/>
                      <w:sz w:val="21"/>
                    </w:rPr>
                  </w:pPr>
                  <w:r>
                    <w:rPr>
                      <w:color w:val="FF0000"/>
                      <w:sz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dxa"/>
                  <w:vAlign w:val="center"/>
                </w:tcPr>
                <w:p>
                  <w:pPr>
                    <w:pStyle w:val="175"/>
                    <w:spacing w:before="72" w:after="72"/>
                    <w:rPr>
                      <w:color w:val="FF0000"/>
                      <w:sz w:val="21"/>
                    </w:rPr>
                  </w:pPr>
                  <w:r>
                    <w:rPr>
                      <w:color w:val="FF0000"/>
                      <w:sz w:val="21"/>
                    </w:rPr>
                    <w:t>CO</w:t>
                  </w:r>
                </w:p>
              </w:tc>
              <w:tc>
                <w:tcPr>
                  <w:tcW w:w="2227" w:type="dxa"/>
                  <w:vAlign w:val="center"/>
                </w:tcPr>
                <w:p>
                  <w:pPr>
                    <w:pStyle w:val="175"/>
                    <w:spacing w:before="72" w:after="72"/>
                    <w:rPr>
                      <w:color w:val="FF0000"/>
                      <w:sz w:val="21"/>
                    </w:rPr>
                  </w:pPr>
                  <w:r>
                    <w:rPr>
                      <w:color w:val="FF0000"/>
                      <w:sz w:val="21"/>
                    </w:rPr>
                    <w:t>日平均第95百分位数</w:t>
                  </w:r>
                </w:p>
              </w:tc>
              <w:tc>
                <w:tcPr>
                  <w:tcW w:w="1185" w:type="dxa"/>
                  <w:vAlign w:val="center"/>
                </w:tcPr>
                <w:p>
                  <w:pPr>
                    <w:pStyle w:val="175"/>
                    <w:spacing w:before="72" w:after="72"/>
                    <w:rPr>
                      <w:color w:val="FF0000"/>
                      <w:sz w:val="21"/>
                    </w:rPr>
                  </w:pPr>
                  <w:r>
                    <w:rPr>
                      <w:color w:val="FF0000"/>
                      <w:sz w:val="21"/>
                    </w:rPr>
                    <w:t>2.8mg/m</w:t>
                  </w:r>
                  <w:r>
                    <w:rPr>
                      <w:color w:val="FF0000"/>
                      <w:sz w:val="21"/>
                      <w:vertAlign w:val="superscript"/>
                    </w:rPr>
                    <w:t>3</w:t>
                  </w:r>
                </w:p>
              </w:tc>
              <w:tc>
                <w:tcPr>
                  <w:tcW w:w="1155" w:type="dxa"/>
                  <w:vAlign w:val="center"/>
                </w:tcPr>
                <w:p>
                  <w:pPr>
                    <w:pStyle w:val="175"/>
                    <w:spacing w:before="72" w:after="72"/>
                    <w:rPr>
                      <w:color w:val="FF0000"/>
                      <w:sz w:val="21"/>
                    </w:rPr>
                  </w:pPr>
                  <w:r>
                    <w:rPr>
                      <w:color w:val="FF0000"/>
                      <w:sz w:val="21"/>
                    </w:rPr>
                    <w:t>4mg/m</w:t>
                  </w:r>
                  <w:r>
                    <w:rPr>
                      <w:color w:val="FF0000"/>
                      <w:sz w:val="21"/>
                      <w:vertAlign w:val="superscript"/>
                    </w:rPr>
                    <w:t>3</w:t>
                  </w:r>
                </w:p>
              </w:tc>
              <w:tc>
                <w:tcPr>
                  <w:tcW w:w="961" w:type="dxa"/>
                  <w:vAlign w:val="center"/>
                </w:tcPr>
                <w:p>
                  <w:pPr>
                    <w:pStyle w:val="175"/>
                    <w:spacing w:before="72" w:after="72"/>
                    <w:rPr>
                      <w:color w:val="FF0000"/>
                      <w:sz w:val="21"/>
                    </w:rPr>
                  </w:pPr>
                  <w:r>
                    <w:rPr>
                      <w:color w:val="FF0000"/>
                      <w:sz w:val="21"/>
                    </w:rPr>
                    <w:t>70.00</w:t>
                  </w:r>
                </w:p>
              </w:tc>
              <w:tc>
                <w:tcPr>
                  <w:tcW w:w="1277" w:type="dxa"/>
                  <w:vAlign w:val="center"/>
                </w:tcPr>
                <w:p>
                  <w:pPr>
                    <w:pStyle w:val="175"/>
                    <w:spacing w:before="72" w:after="72"/>
                    <w:rPr>
                      <w:color w:val="FF0000"/>
                      <w:sz w:val="21"/>
                    </w:rPr>
                  </w:pPr>
                  <w:r>
                    <w:rPr>
                      <w:color w:val="FF0000"/>
                      <w:sz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32" w:type="dxa"/>
                  <w:vAlign w:val="center"/>
                </w:tcPr>
                <w:p>
                  <w:pPr>
                    <w:pStyle w:val="175"/>
                    <w:spacing w:before="72" w:after="72"/>
                    <w:rPr>
                      <w:color w:val="FF0000"/>
                      <w:sz w:val="21"/>
                    </w:rPr>
                  </w:pPr>
                  <w:r>
                    <w:rPr>
                      <w:color w:val="FF0000"/>
                      <w:sz w:val="21"/>
                    </w:rPr>
                    <w:t>O</w:t>
                  </w:r>
                  <w:r>
                    <w:rPr>
                      <w:color w:val="FF0000"/>
                      <w:sz w:val="21"/>
                      <w:vertAlign w:val="subscript"/>
                    </w:rPr>
                    <w:t>3</w:t>
                  </w:r>
                </w:p>
              </w:tc>
              <w:tc>
                <w:tcPr>
                  <w:tcW w:w="2227" w:type="dxa"/>
                  <w:vAlign w:val="center"/>
                </w:tcPr>
                <w:p>
                  <w:pPr>
                    <w:pStyle w:val="175"/>
                    <w:spacing w:before="72" w:after="72"/>
                    <w:rPr>
                      <w:color w:val="FF0000"/>
                      <w:sz w:val="21"/>
                    </w:rPr>
                  </w:pPr>
                  <w:r>
                    <w:rPr>
                      <w:color w:val="FF0000"/>
                      <w:sz w:val="21"/>
                    </w:rPr>
                    <w:t>8h最大平均第90百分位</w:t>
                  </w:r>
                </w:p>
              </w:tc>
              <w:tc>
                <w:tcPr>
                  <w:tcW w:w="1185" w:type="dxa"/>
                  <w:vAlign w:val="center"/>
                </w:tcPr>
                <w:p>
                  <w:pPr>
                    <w:pStyle w:val="175"/>
                    <w:spacing w:before="72" w:after="72"/>
                    <w:rPr>
                      <w:color w:val="FF0000"/>
                      <w:sz w:val="21"/>
                    </w:rPr>
                  </w:pPr>
                  <w:r>
                    <w:rPr>
                      <w:color w:val="FF0000"/>
                      <w:sz w:val="21"/>
                    </w:rPr>
                    <w:t>138</w:t>
                  </w:r>
                </w:p>
              </w:tc>
              <w:tc>
                <w:tcPr>
                  <w:tcW w:w="1155" w:type="dxa"/>
                  <w:vAlign w:val="center"/>
                </w:tcPr>
                <w:p>
                  <w:pPr>
                    <w:pStyle w:val="175"/>
                    <w:spacing w:before="72" w:after="72"/>
                    <w:rPr>
                      <w:color w:val="FF0000"/>
                      <w:sz w:val="21"/>
                    </w:rPr>
                  </w:pPr>
                  <w:r>
                    <w:rPr>
                      <w:color w:val="FF0000"/>
                      <w:sz w:val="21"/>
                    </w:rPr>
                    <w:t>160</w:t>
                  </w:r>
                </w:p>
              </w:tc>
              <w:tc>
                <w:tcPr>
                  <w:tcW w:w="961" w:type="dxa"/>
                  <w:vAlign w:val="center"/>
                </w:tcPr>
                <w:p>
                  <w:pPr>
                    <w:pStyle w:val="175"/>
                    <w:spacing w:before="72" w:after="72"/>
                    <w:rPr>
                      <w:color w:val="FF0000"/>
                      <w:sz w:val="21"/>
                    </w:rPr>
                  </w:pPr>
                  <w:r>
                    <w:rPr>
                      <w:color w:val="FF0000"/>
                      <w:sz w:val="21"/>
                    </w:rPr>
                    <w:t>86.25</w:t>
                  </w:r>
                </w:p>
              </w:tc>
              <w:tc>
                <w:tcPr>
                  <w:tcW w:w="1277" w:type="dxa"/>
                  <w:vAlign w:val="center"/>
                </w:tcPr>
                <w:p>
                  <w:pPr>
                    <w:pStyle w:val="175"/>
                    <w:spacing w:before="72" w:after="72"/>
                    <w:rPr>
                      <w:color w:val="FF0000"/>
                      <w:sz w:val="21"/>
                    </w:rPr>
                  </w:pPr>
                  <w:r>
                    <w:rPr>
                      <w:color w:val="FF0000"/>
                      <w:sz w:val="21"/>
                    </w:rPr>
                    <w:t>达标</w:t>
                  </w:r>
                </w:p>
              </w:tc>
            </w:tr>
          </w:tbl>
          <w:p>
            <w:pPr>
              <w:spacing w:before="120" w:beforeLines="50" w:line="360" w:lineRule="auto"/>
              <w:ind w:firstLine="480" w:firstLineChars="200"/>
              <w:rPr>
                <w:color w:val="FF0000"/>
              </w:rPr>
            </w:pPr>
            <w:r>
              <w:rPr>
                <w:rFonts w:ascii="宋体" w:hAnsi="宋体"/>
                <w:color w:val="FF0000"/>
              </w:rPr>
              <w:t>根据统计数据分析，</w:t>
            </w:r>
            <w:r>
              <w:rPr>
                <w:rFonts w:hint="eastAsia" w:ascii="宋体" w:hAnsi="宋体"/>
                <w:color w:val="FF0000"/>
              </w:rPr>
              <w:t>本项目所在区域</w:t>
            </w:r>
            <w:r>
              <w:rPr>
                <w:rFonts w:hint="eastAsia"/>
                <w:color w:val="FF0000"/>
              </w:rPr>
              <w:t>SO</w:t>
            </w:r>
            <w:r>
              <w:rPr>
                <w:rFonts w:hint="eastAsia"/>
                <w:color w:val="FF0000"/>
                <w:vertAlign w:val="subscript"/>
              </w:rPr>
              <w:t>2</w:t>
            </w:r>
            <w:r>
              <w:rPr>
                <w:rFonts w:hint="eastAsia" w:ascii="宋体" w:hAnsi="宋体"/>
                <w:color w:val="FF0000"/>
              </w:rPr>
              <w:t>、</w:t>
            </w:r>
            <w:r>
              <w:rPr>
                <w:rFonts w:hint="eastAsia"/>
                <w:color w:val="FF0000"/>
              </w:rPr>
              <w:t>NO</w:t>
            </w:r>
            <w:r>
              <w:rPr>
                <w:rFonts w:hint="eastAsia"/>
                <w:color w:val="FF0000"/>
                <w:vertAlign w:val="subscript"/>
              </w:rPr>
              <w:t>2</w:t>
            </w:r>
            <w:r>
              <w:rPr>
                <w:rFonts w:hint="eastAsia" w:ascii="宋体" w:hAnsi="宋体"/>
                <w:color w:val="FF0000"/>
              </w:rPr>
              <w:t>、</w:t>
            </w:r>
            <w:r>
              <w:rPr>
                <w:rFonts w:hint="eastAsia"/>
                <w:color w:val="FF0000"/>
              </w:rPr>
              <w:t>CO</w:t>
            </w:r>
            <w:r>
              <w:rPr>
                <w:rFonts w:hint="eastAsia" w:ascii="宋体" w:hAnsi="宋体"/>
                <w:color w:val="FF0000"/>
              </w:rPr>
              <w:t>、</w:t>
            </w:r>
            <w:r>
              <w:rPr>
                <w:rFonts w:hint="eastAsia"/>
                <w:color w:val="FF0000"/>
              </w:rPr>
              <w:t>O</w:t>
            </w:r>
            <w:r>
              <w:rPr>
                <w:rFonts w:hint="eastAsia"/>
                <w:color w:val="FF0000"/>
                <w:vertAlign w:val="subscript"/>
              </w:rPr>
              <w:t>3</w:t>
            </w:r>
            <w:r>
              <w:rPr>
                <w:rFonts w:hint="eastAsia" w:ascii="宋体" w:hAnsi="宋体"/>
                <w:color w:val="FF0000"/>
              </w:rPr>
              <w:t>的浓度均可满足《环境空气质量标准》（</w:t>
            </w:r>
            <w:r>
              <w:rPr>
                <w:rFonts w:hint="eastAsia"/>
                <w:color w:val="FF0000"/>
              </w:rPr>
              <w:t>GB3095-2012</w:t>
            </w:r>
            <w:r>
              <w:rPr>
                <w:rFonts w:hint="eastAsia" w:ascii="宋体" w:hAnsi="宋体"/>
                <w:color w:val="FF0000"/>
              </w:rPr>
              <w:t>）二级浓度限值，</w:t>
            </w:r>
            <w:r>
              <w:rPr>
                <w:rFonts w:hint="eastAsia"/>
                <w:color w:val="FF0000"/>
              </w:rPr>
              <w:t>PM</w:t>
            </w:r>
            <w:r>
              <w:rPr>
                <w:rFonts w:hint="eastAsia"/>
                <w:color w:val="FF0000"/>
                <w:vertAlign w:val="subscript"/>
              </w:rPr>
              <w:t>10</w:t>
            </w:r>
            <w:r>
              <w:rPr>
                <w:rFonts w:hint="eastAsia" w:ascii="宋体" w:hAnsi="宋体"/>
                <w:color w:val="FF0000"/>
              </w:rPr>
              <w:t>、</w:t>
            </w:r>
            <w:r>
              <w:rPr>
                <w:rFonts w:hint="eastAsia"/>
                <w:color w:val="FF0000"/>
              </w:rPr>
              <w:t>PM</w:t>
            </w:r>
            <w:r>
              <w:rPr>
                <w:rFonts w:hint="eastAsia"/>
                <w:color w:val="FF0000"/>
                <w:vertAlign w:val="subscript"/>
              </w:rPr>
              <w:t>2.5</w:t>
            </w:r>
            <w:r>
              <w:rPr>
                <w:rFonts w:hint="eastAsia" w:ascii="宋体" w:hAnsi="宋体"/>
                <w:color w:val="FF0000"/>
              </w:rPr>
              <w:t>浓度超过《环境空气质量标准》（</w:t>
            </w:r>
            <w:r>
              <w:rPr>
                <w:rFonts w:hint="eastAsia"/>
                <w:color w:val="FF0000"/>
              </w:rPr>
              <w:t>GB3095-2012</w:t>
            </w:r>
            <w:r>
              <w:rPr>
                <w:rFonts w:hint="eastAsia" w:ascii="宋体" w:hAnsi="宋体"/>
                <w:color w:val="FF0000"/>
              </w:rPr>
              <w:t>）二级浓度限值，因此项目所在区域为环境空气质量不达标区。</w:t>
            </w:r>
          </w:p>
          <w:p>
            <w:pPr>
              <w:adjustRightInd w:val="0"/>
              <w:snapToGrid w:val="0"/>
              <w:spacing w:line="360" w:lineRule="auto"/>
              <w:ind w:firstLine="482" w:firstLineChars="200"/>
              <w:rPr>
                <w:b/>
                <w:bCs/>
                <w:color w:val="FF0000"/>
              </w:rPr>
            </w:pPr>
            <w:r>
              <w:rPr>
                <w:rFonts w:hint="eastAsia"/>
                <w:b/>
                <w:bCs/>
                <w:color w:val="FF0000"/>
              </w:rPr>
              <w:t>1.</w:t>
            </w:r>
            <w:r>
              <w:rPr>
                <w:b/>
                <w:bCs/>
                <w:color w:val="FF0000"/>
              </w:rPr>
              <w:t>2</w:t>
            </w:r>
            <w:r>
              <w:rPr>
                <w:rFonts w:hint="eastAsia"/>
                <w:b/>
                <w:bCs/>
                <w:color w:val="FF0000"/>
              </w:rPr>
              <w:t>特征污染物</w:t>
            </w:r>
          </w:p>
          <w:p>
            <w:pPr>
              <w:adjustRightInd w:val="0"/>
              <w:snapToGrid w:val="0"/>
              <w:spacing w:line="360" w:lineRule="auto"/>
              <w:ind w:firstLine="480" w:firstLineChars="200"/>
              <w:rPr>
                <w:color w:val="FF0000"/>
              </w:rPr>
            </w:pPr>
            <w:r>
              <w:rPr>
                <w:color w:val="FF0000"/>
              </w:rPr>
              <w:t>本次评价环境空气特征因子</w:t>
            </w:r>
            <w:r>
              <w:rPr>
                <w:rFonts w:hint="eastAsia"/>
                <w:color w:val="FF0000"/>
                <w:szCs w:val="32"/>
              </w:rPr>
              <w:t>为TSP、非甲烷总烃和甲醛</w:t>
            </w:r>
            <w:r>
              <w:rPr>
                <w:color w:val="FF0000"/>
              </w:rPr>
              <w:t>；</w:t>
            </w:r>
          </w:p>
          <w:p>
            <w:pPr>
              <w:adjustRightInd w:val="0"/>
              <w:snapToGrid w:val="0"/>
              <w:spacing w:line="360" w:lineRule="auto"/>
              <w:ind w:firstLine="480" w:firstLineChars="200"/>
              <w:jc w:val="left"/>
              <w:rPr>
                <w:color w:val="FF0000"/>
                <w:szCs w:val="32"/>
              </w:rPr>
            </w:pPr>
            <w:r>
              <w:rPr>
                <w:rFonts w:hint="eastAsia"/>
                <w:color w:val="FF0000"/>
                <w:szCs w:val="32"/>
              </w:rPr>
              <w:t>（1）TSP</w:t>
            </w:r>
          </w:p>
          <w:p>
            <w:pPr>
              <w:adjustRightInd w:val="0"/>
              <w:snapToGrid w:val="0"/>
              <w:spacing w:line="360" w:lineRule="auto"/>
              <w:ind w:firstLine="480" w:firstLineChars="200"/>
              <w:jc w:val="left"/>
              <w:rPr>
                <w:color w:val="FF0000"/>
                <w:szCs w:val="20"/>
              </w:rPr>
            </w:pPr>
            <w:r>
              <w:rPr>
                <w:color w:val="FF0000"/>
                <w:szCs w:val="32"/>
              </w:rPr>
              <w:t>特征因子</w:t>
            </w:r>
            <w:r>
              <w:rPr>
                <w:rFonts w:hint="eastAsia"/>
                <w:color w:val="FF0000"/>
                <w:szCs w:val="32"/>
              </w:rPr>
              <w:t>TSP引用《新疆龙成消防器材有限公司年产300万具环保消防器材生产基地项目》现状监测数据，位于项目区西南侧1970m，监测时间为2021年8月30日-2021年9月3日</w:t>
            </w:r>
            <w:r>
              <w:rPr>
                <w:rFonts w:hint="eastAsia"/>
                <w:color w:val="FF0000"/>
              </w:rPr>
              <w:t>，</w:t>
            </w:r>
            <w:r>
              <w:rPr>
                <w:rFonts w:hint="eastAsia"/>
                <w:color w:val="FF0000"/>
                <w:szCs w:val="20"/>
              </w:rPr>
              <w:t>监测布点见附图5。</w:t>
            </w:r>
          </w:p>
          <w:p>
            <w:pPr>
              <w:spacing w:line="360" w:lineRule="auto"/>
              <w:ind w:firstLine="480"/>
              <w:rPr>
                <w:color w:val="FF0000"/>
              </w:rPr>
            </w:pPr>
            <w:r>
              <w:rPr>
                <w:rFonts w:hint="eastAsia"/>
                <w:color w:val="FF0000"/>
              </w:rPr>
              <w:t>TSP监测数据如下：</w:t>
            </w:r>
          </w:p>
          <w:p>
            <w:pPr>
              <w:spacing w:line="360" w:lineRule="auto"/>
              <w:jc w:val="center"/>
              <w:rPr>
                <w:rFonts w:ascii="宋体" w:hAnsi="宋体"/>
                <w:b/>
                <w:color w:val="FF0000"/>
                <w:sz w:val="21"/>
                <w:szCs w:val="21"/>
              </w:rPr>
            </w:pPr>
            <w:r>
              <w:rPr>
                <w:rFonts w:hint="eastAsia" w:ascii="宋体" w:hAnsi="宋体"/>
                <w:b/>
                <w:color w:val="FF0000"/>
                <w:sz w:val="21"/>
                <w:szCs w:val="21"/>
              </w:rPr>
              <w:t>表3-2</w:t>
            </w:r>
            <w:r>
              <w:rPr>
                <w:rFonts w:ascii="宋体" w:hAnsi="宋体"/>
                <w:b/>
                <w:color w:val="FF0000"/>
                <w:sz w:val="21"/>
                <w:szCs w:val="21"/>
              </w:rPr>
              <w:t xml:space="preserve">   </w:t>
            </w:r>
            <w:r>
              <w:rPr>
                <w:rFonts w:hint="eastAsia" w:ascii="宋体" w:hAnsi="宋体"/>
                <w:b/>
                <w:color w:val="FF0000"/>
                <w:sz w:val="21"/>
                <w:szCs w:val="21"/>
              </w:rPr>
              <w:t>TSP监测及评价结果</w:t>
            </w:r>
            <w:r>
              <w:rPr>
                <w:rFonts w:ascii="宋体" w:hAnsi="宋体"/>
                <w:b/>
                <w:color w:val="FF0000"/>
                <w:sz w:val="21"/>
                <w:szCs w:val="21"/>
              </w:rPr>
              <w:t xml:space="preserve">     </w:t>
            </w:r>
            <w:r>
              <w:rPr>
                <w:rFonts w:hint="eastAsia" w:ascii="宋体" w:hAnsi="宋体"/>
                <w:b/>
                <w:color w:val="FF0000"/>
                <w:sz w:val="21"/>
                <w:szCs w:val="21"/>
              </w:rPr>
              <w:t>单位：m</w:t>
            </w:r>
            <w:r>
              <w:rPr>
                <w:rFonts w:ascii="宋体" w:hAnsi="宋体"/>
                <w:b/>
                <w:color w:val="FF0000"/>
                <w:sz w:val="21"/>
                <w:szCs w:val="21"/>
              </w:rPr>
              <w:t>g/m</w:t>
            </w:r>
            <w:r>
              <w:rPr>
                <w:rFonts w:hint="eastAsia" w:ascii="宋体" w:hAnsi="宋体"/>
                <w:b/>
                <w:color w:val="FF0000"/>
                <w:sz w:val="21"/>
                <w:szCs w:val="21"/>
                <w:vertAlign w:val="superscript"/>
              </w:rPr>
              <w:t>3</w:t>
            </w:r>
          </w:p>
          <w:tbl>
            <w:tblPr>
              <w:tblStyle w:val="50"/>
              <w:tblW w:w="497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3"/>
              <w:gridCol w:w="1524"/>
              <w:gridCol w:w="1517"/>
              <w:gridCol w:w="1860"/>
              <w:gridCol w:w="151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954" w:type="pct"/>
                  <w:shd w:val="clear" w:color="auto" w:fill="auto"/>
                  <w:vAlign w:val="center"/>
                </w:tcPr>
                <w:p>
                  <w:pPr>
                    <w:widowControl/>
                    <w:jc w:val="center"/>
                    <w:rPr>
                      <w:rFonts w:ascii="宋体" w:hAnsi="宋体" w:cs="宋体"/>
                      <w:b/>
                      <w:bCs/>
                      <w:color w:val="FF0000"/>
                      <w:kern w:val="0"/>
                      <w:sz w:val="21"/>
                      <w:szCs w:val="21"/>
                    </w:rPr>
                  </w:pPr>
                  <w:r>
                    <w:rPr>
                      <w:rFonts w:hint="eastAsia" w:ascii="宋体" w:hAnsi="宋体" w:cs="宋体"/>
                      <w:b/>
                      <w:bCs/>
                      <w:color w:val="FF0000"/>
                      <w:kern w:val="0"/>
                      <w:sz w:val="21"/>
                      <w:szCs w:val="21"/>
                    </w:rPr>
                    <w:t>类型</w:t>
                  </w:r>
                </w:p>
              </w:tc>
              <w:tc>
                <w:tcPr>
                  <w:tcW w:w="961" w:type="pct"/>
                  <w:shd w:val="clear" w:color="auto" w:fill="auto"/>
                  <w:vAlign w:val="center"/>
                </w:tcPr>
                <w:p>
                  <w:pPr>
                    <w:widowControl/>
                    <w:jc w:val="center"/>
                    <w:rPr>
                      <w:rFonts w:ascii="宋体" w:hAnsi="宋体" w:cs="宋体"/>
                      <w:b/>
                      <w:bCs/>
                      <w:color w:val="FF0000"/>
                      <w:kern w:val="0"/>
                      <w:sz w:val="21"/>
                      <w:szCs w:val="21"/>
                    </w:rPr>
                  </w:pPr>
                  <w:r>
                    <w:rPr>
                      <w:rFonts w:hint="eastAsia" w:ascii="宋体" w:hAnsi="宋体" w:cs="宋体"/>
                      <w:b/>
                      <w:bCs/>
                      <w:color w:val="FF0000"/>
                      <w:kern w:val="0"/>
                      <w:sz w:val="21"/>
                      <w:szCs w:val="21"/>
                    </w:rPr>
                    <w:t>采样日期</w:t>
                  </w:r>
                </w:p>
              </w:tc>
              <w:tc>
                <w:tcPr>
                  <w:tcW w:w="957" w:type="pct"/>
                  <w:shd w:val="clear" w:color="auto" w:fill="auto"/>
                  <w:vAlign w:val="center"/>
                </w:tcPr>
                <w:p>
                  <w:pPr>
                    <w:widowControl/>
                    <w:jc w:val="center"/>
                    <w:rPr>
                      <w:rFonts w:ascii="宋体" w:hAnsi="宋体" w:cs="宋体"/>
                      <w:b/>
                      <w:bCs/>
                      <w:color w:val="FF0000"/>
                      <w:kern w:val="0"/>
                      <w:sz w:val="21"/>
                      <w:szCs w:val="21"/>
                    </w:rPr>
                  </w:pPr>
                  <w:r>
                    <w:rPr>
                      <w:rFonts w:hint="eastAsia" w:ascii="宋体" w:hAnsi="宋体" w:cs="宋体"/>
                      <w:b/>
                      <w:bCs/>
                      <w:color w:val="FF0000"/>
                      <w:kern w:val="0"/>
                      <w:sz w:val="21"/>
                      <w:szCs w:val="21"/>
                    </w:rPr>
                    <w:t>监测结果</w:t>
                  </w:r>
                </w:p>
              </w:tc>
              <w:tc>
                <w:tcPr>
                  <w:tcW w:w="1173" w:type="pct"/>
                  <w:shd w:val="clear" w:color="auto" w:fill="auto"/>
                  <w:vAlign w:val="center"/>
                </w:tcPr>
                <w:p>
                  <w:pPr>
                    <w:widowControl/>
                    <w:jc w:val="center"/>
                    <w:rPr>
                      <w:rFonts w:ascii="宋体" w:hAnsi="宋体" w:cs="宋体"/>
                      <w:b/>
                      <w:bCs/>
                      <w:color w:val="FF0000"/>
                      <w:kern w:val="0"/>
                      <w:sz w:val="21"/>
                      <w:szCs w:val="21"/>
                    </w:rPr>
                  </w:pPr>
                  <w:r>
                    <w:rPr>
                      <w:rFonts w:hint="eastAsia" w:ascii="宋体" w:hAnsi="宋体" w:cs="宋体"/>
                      <w:b/>
                      <w:bCs/>
                      <w:color w:val="FF0000"/>
                      <w:kern w:val="0"/>
                      <w:sz w:val="21"/>
                      <w:szCs w:val="21"/>
                    </w:rPr>
                    <w:t>最大浓度占标率</w:t>
                  </w:r>
                </w:p>
              </w:tc>
              <w:tc>
                <w:tcPr>
                  <w:tcW w:w="955" w:type="pct"/>
                  <w:shd w:val="clear" w:color="auto" w:fill="auto"/>
                  <w:vAlign w:val="center"/>
                </w:tcPr>
                <w:p>
                  <w:pPr>
                    <w:widowControl/>
                    <w:jc w:val="center"/>
                    <w:rPr>
                      <w:rFonts w:ascii="宋体" w:hAnsi="宋体" w:cs="宋体"/>
                      <w:b/>
                      <w:bCs/>
                      <w:color w:val="FF0000"/>
                      <w:kern w:val="0"/>
                      <w:sz w:val="21"/>
                      <w:szCs w:val="21"/>
                    </w:rPr>
                  </w:pPr>
                  <w:r>
                    <w:rPr>
                      <w:rFonts w:hint="eastAsia" w:ascii="宋体" w:hAnsi="宋体" w:cs="宋体"/>
                      <w:b/>
                      <w:bCs/>
                      <w:color w:val="FF0000"/>
                      <w:kern w:val="0"/>
                      <w:sz w:val="21"/>
                      <w:szCs w:val="21"/>
                    </w:rPr>
                    <w:t>评价结果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54" w:type="pct"/>
                  <w:vMerge w:val="restart"/>
                  <w:shd w:val="clear" w:color="auto" w:fill="auto"/>
                  <w:vAlign w:val="center"/>
                </w:tcPr>
                <w:p>
                  <w:pPr>
                    <w:widowControl/>
                    <w:jc w:val="center"/>
                    <w:rPr>
                      <w:rFonts w:ascii="宋体" w:hAnsi="宋体" w:cs="宋体"/>
                      <w:color w:val="FF0000"/>
                      <w:kern w:val="0"/>
                      <w:sz w:val="21"/>
                      <w:szCs w:val="21"/>
                    </w:rPr>
                  </w:pPr>
                  <w:r>
                    <w:rPr>
                      <w:rFonts w:hint="eastAsia" w:ascii="宋体" w:hAnsi="宋体" w:cs="宋体"/>
                      <w:color w:val="FF0000"/>
                      <w:kern w:val="0"/>
                      <w:sz w:val="21"/>
                      <w:szCs w:val="21"/>
                    </w:rPr>
                    <w:t>颗粒物</w:t>
                  </w:r>
                </w:p>
              </w:tc>
              <w:tc>
                <w:tcPr>
                  <w:tcW w:w="961" w:type="pct"/>
                  <w:shd w:val="clear" w:color="auto" w:fill="auto"/>
                  <w:vAlign w:val="center"/>
                </w:tcPr>
                <w:p>
                  <w:pPr>
                    <w:widowControl/>
                    <w:jc w:val="center"/>
                    <w:rPr>
                      <w:color w:val="FF0000"/>
                      <w:kern w:val="0"/>
                      <w:sz w:val="21"/>
                      <w:szCs w:val="21"/>
                    </w:rPr>
                  </w:pPr>
                  <w:r>
                    <w:rPr>
                      <w:color w:val="FF0000"/>
                      <w:kern w:val="0"/>
                      <w:sz w:val="21"/>
                      <w:szCs w:val="21"/>
                    </w:rPr>
                    <w:t>2021.8.30</w:t>
                  </w:r>
                </w:p>
              </w:tc>
              <w:tc>
                <w:tcPr>
                  <w:tcW w:w="957" w:type="pct"/>
                  <w:shd w:val="clear" w:color="auto" w:fill="auto"/>
                  <w:vAlign w:val="center"/>
                </w:tcPr>
                <w:p>
                  <w:pPr>
                    <w:widowControl/>
                    <w:jc w:val="center"/>
                    <w:rPr>
                      <w:color w:val="FF0000"/>
                      <w:kern w:val="0"/>
                      <w:sz w:val="21"/>
                      <w:szCs w:val="21"/>
                    </w:rPr>
                  </w:pPr>
                  <w:r>
                    <w:rPr>
                      <w:color w:val="FF0000"/>
                      <w:kern w:val="0"/>
                      <w:sz w:val="21"/>
                      <w:szCs w:val="21"/>
                    </w:rPr>
                    <w:t>0.143</w:t>
                  </w:r>
                </w:p>
              </w:tc>
              <w:tc>
                <w:tcPr>
                  <w:tcW w:w="1173" w:type="pct"/>
                  <w:shd w:val="clear" w:color="auto" w:fill="auto"/>
                  <w:vAlign w:val="center"/>
                </w:tcPr>
                <w:p>
                  <w:pPr>
                    <w:widowControl/>
                    <w:jc w:val="center"/>
                    <w:rPr>
                      <w:color w:val="FF0000"/>
                      <w:kern w:val="0"/>
                      <w:sz w:val="21"/>
                      <w:szCs w:val="21"/>
                    </w:rPr>
                  </w:pPr>
                  <w:r>
                    <w:rPr>
                      <w:color w:val="FF0000"/>
                      <w:kern w:val="0"/>
                      <w:sz w:val="21"/>
                      <w:szCs w:val="21"/>
                    </w:rPr>
                    <w:t>47.6</w:t>
                  </w:r>
                  <w:r>
                    <w:rPr>
                      <w:rFonts w:hint="eastAsia"/>
                      <w:color w:val="FF0000"/>
                      <w:kern w:val="0"/>
                      <w:sz w:val="21"/>
                      <w:szCs w:val="21"/>
                    </w:rPr>
                    <w:t>7</w:t>
                  </w:r>
                </w:p>
              </w:tc>
              <w:tc>
                <w:tcPr>
                  <w:tcW w:w="955" w:type="pct"/>
                  <w:shd w:val="clear" w:color="auto" w:fill="auto"/>
                  <w:vAlign w:val="center"/>
                </w:tcPr>
                <w:p>
                  <w:pPr>
                    <w:widowControl/>
                    <w:jc w:val="center"/>
                    <w:rPr>
                      <w:rFonts w:ascii="宋体" w:hAnsi="宋体" w:cs="宋体"/>
                      <w:color w:val="FF0000"/>
                      <w:kern w:val="0"/>
                      <w:sz w:val="21"/>
                      <w:szCs w:val="21"/>
                    </w:rPr>
                  </w:pPr>
                  <w:r>
                    <w:rPr>
                      <w:rFonts w:hint="eastAsia" w:ascii="宋体" w:hAnsi="宋体" w:cs="宋体"/>
                      <w:color w:val="FF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954" w:type="pct"/>
                  <w:vMerge w:val="continue"/>
                  <w:vAlign w:val="center"/>
                </w:tcPr>
                <w:p>
                  <w:pPr>
                    <w:widowControl/>
                    <w:jc w:val="left"/>
                    <w:rPr>
                      <w:rFonts w:ascii="宋体" w:hAnsi="宋体" w:cs="宋体"/>
                      <w:color w:val="FF0000"/>
                      <w:kern w:val="0"/>
                      <w:sz w:val="21"/>
                      <w:szCs w:val="21"/>
                    </w:rPr>
                  </w:pPr>
                </w:p>
              </w:tc>
              <w:tc>
                <w:tcPr>
                  <w:tcW w:w="961" w:type="pct"/>
                  <w:shd w:val="clear" w:color="auto" w:fill="auto"/>
                  <w:vAlign w:val="center"/>
                </w:tcPr>
                <w:p>
                  <w:pPr>
                    <w:widowControl/>
                    <w:jc w:val="center"/>
                    <w:rPr>
                      <w:color w:val="FF0000"/>
                      <w:kern w:val="0"/>
                      <w:sz w:val="21"/>
                      <w:szCs w:val="21"/>
                    </w:rPr>
                  </w:pPr>
                  <w:r>
                    <w:rPr>
                      <w:color w:val="FF0000"/>
                      <w:kern w:val="0"/>
                      <w:sz w:val="21"/>
                      <w:szCs w:val="21"/>
                    </w:rPr>
                    <w:t>2021.8.31</w:t>
                  </w:r>
                </w:p>
              </w:tc>
              <w:tc>
                <w:tcPr>
                  <w:tcW w:w="957" w:type="pct"/>
                  <w:shd w:val="clear" w:color="auto" w:fill="auto"/>
                  <w:vAlign w:val="center"/>
                </w:tcPr>
                <w:p>
                  <w:pPr>
                    <w:widowControl/>
                    <w:jc w:val="center"/>
                    <w:rPr>
                      <w:color w:val="FF0000"/>
                      <w:kern w:val="0"/>
                      <w:sz w:val="21"/>
                      <w:szCs w:val="21"/>
                    </w:rPr>
                  </w:pPr>
                  <w:r>
                    <w:rPr>
                      <w:color w:val="FF0000"/>
                      <w:kern w:val="0"/>
                      <w:sz w:val="21"/>
                      <w:szCs w:val="21"/>
                    </w:rPr>
                    <w:t>0.163</w:t>
                  </w:r>
                </w:p>
              </w:tc>
              <w:tc>
                <w:tcPr>
                  <w:tcW w:w="1173" w:type="pct"/>
                  <w:shd w:val="clear" w:color="auto" w:fill="auto"/>
                  <w:vAlign w:val="center"/>
                </w:tcPr>
                <w:p>
                  <w:pPr>
                    <w:widowControl/>
                    <w:jc w:val="center"/>
                    <w:rPr>
                      <w:color w:val="FF0000"/>
                      <w:kern w:val="0"/>
                      <w:sz w:val="21"/>
                      <w:szCs w:val="21"/>
                    </w:rPr>
                  </w:pPr>
                  <w:r>
                    <w:rPr>
                      <w:color w:val="FF0000"/>
                      <w:kern w:val="0"/>
                      <w:sz w:val="21"/>
                      <w:szCs w:val="21"/>
                    </w:rPr>
                    <w:t>54.33</w:t>
                  </w:r>
                </w:p>
              </w:tc>
              <w:tc>
                <w:tcPr>
                  <w:tcW w:w="955" w:type="pct"/>
                  <w:shd w:val="clear" w:color="auto" w:fill="auto"/>
                  <w:vAlign w:val="center"/>
                </w:tcPr>
                <w:p>
                  <w:pPr>
                    <w:widowControl/>
                    <w:jc w:val="center"/>
                    <w:rPr>
                      <w:rFonts w:ascii="宋体" w:hAnsi="宋体" w:cs="宋体"/>
                      <w:color w:val="FF0000"/>
                      <w:kern w:val="0"/>
                      <w:sz w:val="21"/>
                      <w:szCs w:val="21"/>
                    </w:rPr>
                  </w:pPr>
                  <w:r>
                    <w:rPr>
                      <w:rFonts w:hint="eastAsia" w:ascii="宋体" w:hAnsi="宋体" w:cs="宋体"/>
                      <w:color w:val="FF0000"/>
                      <w:kern w:val="0"/>
                      <w:sz w:val="21"/>
                      <w:szCs w:val="21"/>
                    </w:rPr>
                    <w:t>达标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06" w:hRule="atLeast"/>
              </w:trPr>
              <w:tc>
                <w:tcPr>
                  <w:tcW w:w="954" w:type="pct"/>
                  <w:vMerge w:val="continue"/>
                  <w:vAlign w:val="center"/>
                </w:tcPr>
                <w:p>
                  <w:pPr>
                    <w:widowControl/>
                    <w:jc w:val="left"/>
                    <w:rPr>
                      <w:rFonts w:ascii="宋体" w:hAnsi="宋体" w:cs="宋体"/>
                      <w:color w:val="FF0000"/>
                      <w:kern w:val="0"/>
                      <w:sz w:val="21"/>
                      <w:szCs w:val="21"/>
                    </w:rPr>
                  </w:pPr>
                </w:p>
              </w:tc>
              <w:tc>
                <w:tcPr>
                  <w:tcW w:w="961" w:type="pct"/>
                  <w:shd w:val="clear" w:color="auto" w:fill="auto"/>
                  <w:vAlign w:val="center"/>
                </w:tcPr>
                <w:p>
                  <w:pPr>
                    <w:widowControl/>
                    <w:jc w:val="center"/>
                    <w:rPr>
                      <w:color w:val="FF0000"/>
                      <w:kern w:val="0"/>
                      <w:sz w:val="21"/>
                      <w:szCs w:val="21"/>
                    </w:rPr>
                  </w:pPr>
                  <w:r>
                    <w:rPr>
                      <w:color w:val="FF0000"/>
                      <w:kern w:val="0"/>
                      <w:sz w:val="21"/>
                      <w:szCs w:val="21"/>
                    </w:rPr>
                    <w:t>2021.9.1</w:t>
                  </w:r>
                </w:p>
              </w:tc>
              <w:tc>
                <w:tcPr>
                  <w:tcW w:w="957" w:type="pct"/>
                  <w:shd w:val="clear" w:color="auto" w:fill="auto"/>
                  <w:vAlign w:val="center"/>
                </w:tcPr>
                <w:p>
                  <w:pPr>
                    <w:widowControl/>
                    <w:jc w:val="center"/>
                    <w:rPr>
                      <w:color w:val="FF0000"/>
                      <w:kern w:val="0"/>
                      <w:sz w:val="21"/>
                      <w:szCs w:val="21"/>
                    </w:rPr>
                  </w:pPr>
                  <w:r>
                    <w:rPr>
                      <w:color w:val="FF0000"/>
                      <w:kern w:val="0"/>
                      <w:sz w:val="21"/>
                      <w:szCs w:val="21"/>
                    </w:rPr>
                    <w:t>0.153</w:t>
                  </w:r>
                </w:p>
              </w:tc>
              <w:tc>
                <w:tcPr>
                  <w:tcW w:w="1173" w:type="pct"/>
                  <w:shd w:val="clear" w:color="auto" w:fill="auto"/>
                  <w:vAlign w:val="center"/>
                </w:tcPr>
                <w:p>
                  <w:pPr>
                    <w:widowControl/>
                    <w:jc w:val="center"/>
                    <w:rPr>
                      <w:color w:val="FF0000"/>
                      <w:kern w:val="0"/>
                      <w:sz w:val="21"/>
                      <w:szCs w:val="21"/>
                    </w:rPr>
                  </w:pPr>
                  <w:r>
                    <w:rPr>
                      <w:color w:val="FF0000"/>
                      <w:kern w:val="0"/>
                      <w:sz w:val="21"/>
                      <w:szCs w:val="21"/>
                    </w:rPr>
                    <w:t>51</w:t>
                  </w:r>
                </w:p>
              </w:tc>
              <w:tc>
                <w:tcPr>
                  <w:tcW w:w="955" w:type="pct"/>
                  <w:shd w:val="clear" w:color="auto" w:fill="auto"/>
                  <w:vAlign w:val="center"/>
                </w:tcPr>
                <w:p>
                  <w:pPr>
                    <w:widowControl/>
                    <w:jc w:val="center"/>
                    <w:rPr>
                      <w:rFonts w:ascii="宋体" w:hAnsi="宋体" w:cs="宋体"/>
                      <w:color w:val="FF0000"/>
                      <w:kern w:val="0"/>
                      <w:sz w:val="21"/>
                      <w:szCs w:val="21"/>
                    </w:rPr>
                  </w:pPr>
                  <w:r>
                    <w:rPr>
                      <w:rFonts w:hint="eastAsia" w:ascii="宋体" w:hAnsi="宋体" w:cs="宋体"/>
                      <w:color w:val="FF0000"/>
                      <w:kern w:val="0"/>
                      <w:sz w:val="21"/>
                      <w:szCs w:val="21"/>
                    </w:rPr>
                    <w:t>达标</w:t>
                  </w:r>
                </w:p>
              </w:tc>
            </w:tr>
          </w:tbl>
          <w:p>
            <w:pPr>
              <w:adjustRightInd w:val="0"/>
              <w:snapToGrid w:val="0"/>
              <w:spacing w:before="120" w:beforeLines="50" w:line="360" w:lineRule="auto"/>
              <w:ind w:firstLine="480" w:firstLineChars="200"/>
              <w:rPr>
                <w:color w:val="FF0000"/>
              </w:rPr>
            </w:pPr>
            <w:r>
              <w:rPr>
                <w:rFonts w:hint="eastAsia"/>
                <w:color w:val="FF0000"/>
              </w:rPr>
              <w:t>（2）非甲烷总烃、甲醛</w:t>
            </w:r>
          </w:p>
          <w:p>
            <w:pPr>
              <w:adjustRightInd w:val="0"/>
              <w:snapToGrid w:val="0"/>
              <w:spacing w:line="360" w:lineRule="auto"/>
              <w:ind w:firstLine="480" w:firstLineChars="200"/>
              <w:rPr>
                <w:color w:val="FF0000"/>
              </w:rPr>
            </w:pPr>
            <w:r>
              <w:rPr>
                <w:rFonts w:hint="eastAsia"/>
                <w:color w:val="FF0000"/>
              </w:rPr>
              <w:t>特征因子非甲烷总烃、甲醛委托新疆锡水金山环境科技有限公司对项目区下风向进行监测，监测时间为2</w:t>
            </w:r>
            <w:r>
              <w:rPr>
                <w:color w:val="FF0000"/>
              </w:rPr>
              <w:t>022</w:t>
            </w:r>
            <w:r>
              <w:rPr>
                <w:rFonts w:hint="eastAsia"/>
                <w:color w:val="FF0000"/>
              </w:rPr>
              <w:t>.5.3</w:t>
            </w:r>
            <w:r>
              <w:rPr>
                <w:color w:val="FF0000"/>
              </w:rPr>
              <w:t>1</w:t>
            </w:r>
            <w:r>
              <w:rPr>
                <w:rFonts w:hint="eastAsia"/>
                <w:color w:val="FF0000"/>
              </w:rPr>
              <w:t>.-</w:t>
            </w:r>
            <w:r>
              <w:rPr>
                <w:color w:val="FF0000"/>
              </w:rPr>
              <w:t>2022</w:t>
            </w:r>
            <w:r>
              <w:rPr>
                <w:rFonts w:hint="eastAsia"/>
                <w:color w:val="FF0000"/>
              </w:rPr>
              <w:t>.6.</w:t>
            </w:r>
            <w:r>
              <w:rPr>
                <w:color w:val="FF0000"/>
              </w:rPr>
              <w:t>1</w:t>
            </w:r>
            <w:r>
              <w:rPr>
                <w:rFonts w:hint="eastAsia"/>
                <w:color w:val="FF0000"/>
              </w:rPr>
              <w:t>，监测点位见附图5。</w:t>
            </w:r>
          </w:p>
          <w:p>
            <w:pPr>
              <w:adjustRightInd w:val="0"/>
              <w:snapToGrid w:val="0"/>
              <w:spacing w:line="360" w:lineRule="auto"/>
              <w:jc w:val="center"/>
              <w:rPr>
                <w:color w:val="FF0000"/>
              </w:rPr>
            </w:pPr>
            <w:r>
              <w:rPr>
                <w:b/>
                <w:color w:val="FF0000"/>
                <w:kern w:val="36"/>
                <w:sz w:val="21"/>
              </w:rPr>
              <w:t>表</w:t>
            </w:r>
            <w:r>
              <w:rPr>
                <w:rFonts w:hint="eastAsia"/>
                <w:b/>
                <w:color w:val="FF0000"/>
                <w:kern w:val="36"/>
                <w:sz w:val="21"/>
              </w:rPr>
              <w:t xml:space="preserve">3-3 </w:t>
            </w:r>
            <w:r>
              <w:rPr>
                <w:b/>
                <w:color w:val="FF0000"/>
                <w:kern w:val="36"/>
                <w:sz w:val="21"/>
              </w:rPr>
              <w:t xml:space="preserve"> </w:t>
            </w:r>
            <w:r>
              <w:rPr>
                <w:rFonts w:hint="eastAsia"/>
                <w:b/>
                <w:color w:val="FF0000"/>
                <w:kern w:val="36"/>
                <w:sz w:val="21"/>
              </w:rPr>
              <w:t>非甲烷总烃、甲醛现状</w:t>
            </w:r>
            <w:r>
              <w:rPr>
                <w:b/>
                <w:color w:val="FF0000"/>
                <w:kern w:val="36"/>
                <w:sz w:val="21"/>
              </w:rPr>
              <w:t xml:space="preserve">监测数据 </w:t>
            </w:r>
            <w:r>
              <w:rPr>
                <w:b/>
                <w:color w:val="FF0000"/>
                <w:kern w:val="36"/>
                <w:sz w:val="18"/>
                <w:szCs w:val="18"/>
              </w:rPr>
              <w:t xml:space="preserve"> 单位：mg/m</w:t>
            </w:r>
            <w:r>
              <w:rPr>
                <w:b/>
                <w:color w:val="FF0000"/>
                <w:kern w:val="36"/>
                <w:sz w:val="18"/>
                <w:szCs w:val="18"/>
                <w:vertAlign w:val="superscript"/>
              </w:rPr>
              <w:t>3</w:t>
            </w:r>
          </w:p>
          <w:tbl>
            <w:tblPr>
              <w:tblStyle w:val="50"/>
              <w:tblpPr w:leftFromText="180" w:rightFromText="180" w:vertAnchor="text" w:horzAnchor="page" w:tblpXSpec="center" w:tblpY="116"/>
              <w:tblOverlap w:val="never"/>
              <w:tblW w:w="793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47"/>
              <w:gridCol w:w="1571"/>
              <w:gridCol w:w="1571"/>
              <w:gridCol w:w="1574"/>
              <w:gridCol w:w="157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restart"/>
                  <w:vAlign w:val="center"/>
                </w:tcPr>
                <w:p>
                  <w:pPr>
                    <w:pStyle w:val="215"/>
                    <w:rPr>
                      <w:color w:val="FF0000"/>
                    </w:rPr>
                  </w:pPr>
                  <w:r>
                    <w:rPr>
                      <w:color w:val="FF0000"/>
                    </w:rPr>
                    <w:t>采样</w:t>
                  </w:r>
                  <w:r>
                    <w:rPr>
                      <w:rFonts w:hint="eastAsia"/>
                      <w:color w:val="FF0000"/>
                    </w:rPr>
                    <w:t>点位</w:t>
                  </w:r>
                </w:p>
              </w:tc>
              <w:tc>
                <w:tcPr>
                  <w:tcW w:w="1571" w:type="dxa"/>
                  <w:vMerge w:val="restart"/>
                  <w:vAlign w:val="center"/>
                </w:tcPr>
                <w:p>
                  <w:pPr>
                    <w:pStyle w:val="215"/>
                    <w:rPr>
                      <w:color w:val="FF0000"/>
                    </w:rPr>
                  </w:pPr>
                  <w:r>
                    <w:rPr>
                      <w:color w:val="FF0000"/>
                    </w:rPr>
                    <w:t>采样日期</w:t>
                  </w:r>
                </w:p>
              </w:tc>
              <w:tc>
                <w:tcPr>
                  <w:tcW w:w="1571" w:type="dxa"/>
                  <w:vMerge w:val="restart"/>
                  <w:vAlign w:val="center"/>
                </w:tcPr>
                <w:p>
                  <w:pPr>
                    <w:pStyle w:val="215"/>
                    <w:rPr>
                      <w:color w:val="FF0000"/>
                    </w:rPr>
                  </w:pPr>
                  <w:r>
                    <w:rPr>
                      <w:rFonts w:hint="eastAsia"/>
                      <w:color w:val="FF0000"/>
                    </w:rPr>
                    <w:t>样品编号</w:t>
                  </w:r>
                </w:p>
              </w:tc>
              <w:tc>
                <w:tcPr>
                  <w:tcW w:w="1571" w:type="dxa"/>
                  <w:vMerge w:val="restart"/>
                  <w:vAlign w:val="center"/>
                </w:tcPr>
                <w:p>
                  <w:pPr>
                    <w:pStyle w:val="215"/>
                    <w:rPr>
                      <w:color w:val="FF0000"/>
                    </w:rPr>
                  </w:pPr>
                  <w:r>
                    <w:rPr>
                      <w:rFonts w:hint="eastAsia"/>
                      <w:color w:val="FF0000"/>
                    </w:rPr>
                    <w:t>采样频次</w:t>
                  </w:r>
                </w:p>
              </w:tc>
              <w:tc>
                <w:tcPr>
                  <w:tcW w:w="1573" w:type="dxa"/>
                  <w:vAlign w:val="center"/>
                </w:tcPr>
                <w:p>
                  <w:pPr>
                    <w:pStyle w:val="215"/>
                    <w:rPr>
                      <w:color w:val="FF0000"/>
                    </w:rPr>
                  </w:pPr>
                  <w:r>
                    <w:rPr>
                      <w:color w:val="FF0000"/>
                    </w:rPr>
                    <w:t>检测项目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3" w:type="dxa"/>
                  <w:vAlign w:val="center"/>
                </w:tcPr>
                <w:p>
                  <w:pPr>
                    <w:pStyle w:val="215"/>
                    <w:rPr>
                      <w:color w:val="FF0000"/>
                    </w:rPr>
                  </w:pPr>
                  <w:r>
                    <w:rPr>
                      <w:rFonts w:hint="eastAsia"/>
                      <w:color w:val="FF0000"/>
                    </w:rPr>
                    <w:t>非甲烷总烃</w:t>
                  </w:r>
                  <w:r>
                    <w:rPr>
                      <w:color w:val="FF0000"/>
                    </w:rPr>
                    <w:t>(</w:t>
                  </w:r>
                  <w:r>
                    <w:rPr>
                      <w:rFonts w:hint="eastAsia"/>
                      <w:color w:val="FF0000"/>
                    </w:rPr>
                    <w:t>m</w:t>
                  </w:r>
                  <w:r>
                    <w:rPr>
                      <w:color w:val="FF0000"/>
                    </w:rPr>
                    <w:t>g/</w:t>
                  </w:r>
                  <w:r>
                    <w:rPr>
                      <w:rFonts w:hint="eastAsia"/>
                      <w:color w:val="FF0000"/>
                    </w:rPr>
                    <w:t>m</w:t>
                  </w:r>
                  <w:r>
                    <w:rPr>
                      <w:rFonts w:hint="eastAsia"/>
                      <w:color w:val="FF0000"/>
                      <w:vertAlign w:val="superscript"/>
                    </w:rPr>
                    <w:t>3</w:t>
                  </w:r>
                  <w:r>
                    <w:rPr>
                      <w:color w:val="FF0000"/>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restart"/>
                  <w:vAlign w:val="center"/>
                </w:tcPr>
                <w:p>
                  <w:pPr>
                    <w:pStyle w:val="215"/>
                    <w:rPr>
                      <w:color w:val="FF0000"/>
                    </w:rPr>
                  </w:pPr>
                  <w:r>
                    <w:rPr>
                      <w:rFonts w:hint="eastAsia"/>
                      <w:color w:val="FF0000"/>
                    </w:rPr>
                    <w:t>项目区下风向1m 1</w:t>
                  </w:r>
                  <w:r>
                    <w:rPr>
                      <w:rFonts w:hint="eastAsia"/>
                      <w:color w:val="FF0000"/>
                      <w:vertAlign w:val="superscript"/>
                    </w:rPr>
                    <w:t>#</w:t>
                  </w:r>
                  <w:r>
                    <w:rPr>
                      <w:rFonts w:hint="eastAsia"/>
                      <w:color w:val="FF0000"/>
                    </w:rPr>
                    <w:t xml:space="preserve"> </w:t>
                  </w:r>
                </w:p>
                <w:p>
                  <w:pPr>
                    <w:pStyle w:val="215"/>
                    <w:rPr>
                      <w:color w:val="FF0000"/>
                    </w:rPr>
                  </w:pPr>
                  <w:r>
                    <w:rPr>
                      <w:rFonts w:hint="eastAsia"/>
                      <w:color w:val="FF0000"/>
                    </w:rPr>
                    <w:t>（87</w:t>
                  </w:r>
                  <w:r>
                    <w:rPr>
                      <w:color w:val="FF0000"/>
                    </w:rPr>
                    <w:t>°</w:t>
                  </w:r>
                  <w:r>
                    <w:rPr>
                      <w:rFonts w:hint="eastAsia"/>
                      <w:color w:val="FF0000"/>
                    </w:rPr>
                    <w:t>2</w:t>
                  </w:r>
                  <w:r>
                    <w:rPr>
                      <w:color w:val="FF0000"/>
                    </w:rPr>
                    <w:t>′</w:t>
                  </w:r>
                  <w:r>
                    <w:rPr>
                      <w:rFonts w:hint="eastAsia"/>
                      <w:color w:val="FF0000"/>
                    </w:rPr>
                    <w:t>43.45</w:t>
                  </w:r>
                  <w:r>
                    <w:rPr>
                      <w:color w:val="FF0000"/>
                    </w:rPr>
                    <w:t>″E</w:t>
                  </w:r>
                </w:p>
                <w:p>
                  <w:pPr>
                    <w:pStyle w:val="215"/>
                    <w:rPr>
                      <w:color w:val="FF0000"/>
                    </w:rPr>
                  </w:pPr>
                  <w:r>
                    <w:rPr>
                      <w:rFonts w:hint="eastAsia"/>
                      <w:color w:val="FF0000"/>
                    </w:rPr>
                    <w:t>44</w:t>
                  </w:r>
                  <w:r>
                    <w:rPr>
                      <w:color w:val="FF0000"/>
                    </w:rPr>
                    <w:t>°</w:t>
                  </w:r>
                  <w:r>
                    <w:rPr>
                      <w:rFonts w:hint="eastAsia"/>
                      <w:color w:val="FF0000"/>
                    </w:rPr>
                    <w:t>7</w:t>
                  </w:r>
                  <w:r>
                    <w:rPr>
                      <w:color w:val="FF0000"/>
                    </w:rPr>
                    <w:t>′</w:t>
                  </w:r>
                  <w:r>
                    <w:rPr>
                      <w:rFonts w:hint="eastAsia"/>
                      <w:color w:val="FF0000"/>
                    </w:rPr>
                    <w:t>12.85</w:t>
                  </w:r>
                  <w:r>
                    <w:rPr>
                      <w:color w:val="FF0000"/>
                    </w:rPr>
                    <w:t>″N</w:t>
                  </w:r>
                  <w:r>
                    <w:rPr>
                      <w:rFonts w:hint="eastAsia"/>
                      <w:color w:val="FF0000"/>
                    </w:rPr>
                    <w:t>）</w:t>
                  </w:r>
                </w:p>
              </w:tc>
              <w:tc>
                <w:tcPr>
                  <w:tcW w:w="1571" w:type="dxa"/>
                  <w:vMerge w:val="restart"/>
                  <w:vAlign w:val="center"/>
                </w:tcPr>
                <w:p>
                  <w:pPr>
                    <w:pStyle w:val="215"/>
                    <w:rPr>
                      <w:color w:val="FF0000"/>
                      <w:shd w:val="pct10" w:color="auto" w:fill="FFFFFF"/>
                    </w:rPr>
                  </w:pPr>
                  <w:r>
                    <w:rPr>
                      <w:rFonts w:hint="eastAsia"/>
                      <w:color w:val="FF0000"/>
                    </w:rPr>
                    <w:t>2022年5月31日</w:t>
                  </w:r>
                </w:p>
              </w:tc>
              <w:tc>
                <w:tcPr>
                  <w:tcW w:w="1571" w:type="dxa"/>
                  <w:vAlign w:val="center"/>
                </w:tcPr>
                <w:p>
                  <w:pPr>
                    <w:pStyle w:val="215"/>
                    <w:rPr>
                      <w:color w:val="FF0000"/>
                    </w:rPr>
                  </w:pPr>
                  <w:r>
                    <w:rPr>
                      <w:color w:val="FF0000"/>
                    </w:rPr>
                    <w:t>HQ-1</w:t>
                  </w:r>
                  <w:r>
                    <w:rPr>
                      <w:color w:val="FF0000"/>
                      <w:vertAlign w:val="superscript"/>
                    </w:rPr>
                    <w:t>#</w:t>
                  </w:r>
                  <w:r>
                    <w:rPr>
                      <w:color w:val="FF0000"/>
                    </w:rPr>
                    <w:t>-1-1-</w:t>
                  </w:r>
                  <w:r>
                    <w:rPr>
                      <w:rFonts w:hint="eastAsia"/>
                      <w:color w:val="FF0000"/>
                    </w:rPr>
                    <w:t>m</w:t>
                  </w:r>
                </w:p>
              </w:tc>
              <w:tc>
                <w:tcPr>
                  <w:tcW w:w="1571" w:type="dxa"/>
                  <w:vAlign w:val="center"/>
                </w:tcPr>
                <w:p>
                  <w:pPr>
                    <w:pStyle w:val="215"/>
                    <w:rPr>
                      <w:color w:val="FF0000"/>
                      <w:lang w:bidi="ar"/>
                    </w:rPr>
                  </w:pPr>
                  <w:r>
                    <w:rPr>
                      <w:rFonts w:hint="eastAsia"/>
                      <w:color w:val="FF0000"/>
                      <w:lang w:bidi="ar"/>
                    </w:rPr>
                    <w:t>第1次</w:t>
                  </w:r>
                </w:p>
              </w:tc>
              <w:tc>
                <w:tcPr>
                  <w:tcW w:w="1573" w:type="dxa"/>
                  <w:vAlign w:val="center"/>
                </w:tcPr>
                <w:p>
                  <w:pPr>
                    <w:pStyle w:val="215"/>
                    <w:rPr>
                      <w:color w:val="FF0000"/>
                      <w:lang w:bidi="ar"/>
                    </w:rPr>
                  </w:pPr>
                  <w:r>
                    <w:rPr>
                      <w:rFonts w:hint="eastAsia"/>
                      <w:color w:val="FF0000"/>
                      <w:lang w:bidi="ar"/>
                    </w:rPr>
                    <w:t>0.56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1</w:t>
                  </w:r>
                  <w:r>
                    <w:rPr>
                      <w:color w:val="FF0000"/>
                    </w:rPr>
                    <w:t>-</w:t>
                  </w:r>
                  <w:r>
                    <w:rPr>
                      <w:rFonts w:hint="eastAsia"/>
                      <w:color w:val="FF0000"/>
                    </w:rPr>
                    <w:t>2</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第2次</w:t>
                  </w:r>
                </w:p>
              </w:tc>
              <w:tc>
                <w:tcPr>
                  <w:tcW w:w="1573" w:type="dxa"/>
                  <w:vAlign w:val="center"/>
                </w:tcPr>
                <w:p>
                  <w:pPr>
                    <w:pStyle w:val="215"/>
                    <w:rPr>
                      <w:color w:val="FF0000"/>
                      <w:lang w:bidi="ar"/>
                    </w:rPr>
                  </w:pPr>
                  <w:r>
                    <w:rPr>
                      <w:rFonts w:hint="eastAsia"/>
                      <w:color w:val="FF0000"/>
                      <w:lang w:bidi="ar"/>
                    </w:rPr>
                    <w:t>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1</w:t>
                  </w:r>
                  <w:r>
                    <w:rPr>
                      <w:color w:val="FF0000"/>
                    </w:rPr>
                    <w:t>-</w:t>
                  </w:r>
                  <w:r>
                    <w:rPr>
                      <w:rFonts w:hint="eastAsia"/>
                      <w:color w:val="FF0000"/>
                    </w:rPr>
                    <w:t>3</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第3次</w:t>
                  </w:r>
                </w:p>
              </w:tc>
              <w:tc>
                <w:tcPr>
                  <w:tcW w:w="1573" w:type="dxa"/>
                  <w:vAlign w:val="center"/>
                </w:tcPr>
                <w:p>
                  <w:pPr>
                    <w:pStyle w:val="215"/>
                    <w:rPr>
                      <w:color w:val="FF0000"/>
                      <w:lang w:bidi="ar"/>
                    </w:rPr>
                  </w:pPr>
                  <w:r>
                    <w:rPr>
                      <w:rFonts w:hint="eastAsia"/>
                      <w:color w:val="FF0000"/>
                      <w:lang w:bidi="ar"/>
                    </w:rPr>
                    <w:t>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1</w:t>
                  </w:r>
                  <w:r>
                    <w:rPr>
                      <w:color w:val="FF0000"/>
                    </w:rPr>
                    <w:t>-</w:t>
                  </w:r>
                  <w:r>
                    <w:rPr>
                      <w:rFonts w:hint="eastAsia"/>
                      <w:color w:val="FF0000"/>
                    </w:rPr>
                    <w:t>4</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第4次</w:t>
                  </w:r>
                </w:p>
              </w:tc>
              <w:tc>
                <w:tcPr>
                  <w:tcW w:w="1573" w:type="dxa"/>
                  <w:vAlign w:val="center"/>
                </w:tcPr>
                <w:p>
                  <w:pPr>
                    <w:pStyle w:val="215"/>
                    <w:rPr>
                      <w:color w:val="FF0000"/>
                      <w:lang w:bidi="ar"/>
                    </w:rPr>
                  </w:pPr>
                  <w:r>
                    <w:rPr>
                      <w:rFonts w:hint="eastAsia"/>
                      <w:color w:val="FF0000"/>
                      <w:lang w:bidi="ar"/>
                    </w:rPr>
                    <w:t>0.56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restart"/>
                  <w:vAlign w:val="center"/>
                </w:tcPr>
                <w:p>
                  <w:pPr>
                    <w:pStyle w:val="215"/>
                    <w:rPr>
                      <w:color w:val="FF0000"/>
                    </w:rPr>
                  </w:pPr>
                  <w:r>
                    <w:rPr>
                      <w:rFonts w:hint="eastAsia"/>
                      <w:color w:val="FF0000"/>
                    </w:rPr>
                    <w:t>2022年6月1日</w:t>
                  </w: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-1-</w:t>
                  </w:r>
                  <w:r>
                    <w:rPr>
                      <w:rFonts w:hint="eastAsia"/>
                      <w:color w:val="FF0000"/>
                    </w:rPr>
                    <w:t>m</w:t>
                  </w:r>
                </w:p>
              </w:tc>
              <w:tc>
                <w:tcPr>
                  <w:tcW w:w="1571" w:type="dxa"/>
                  <w:vAlign w:val="center"/>
                </w:tcPr>
                <w:p>
                  <w:pPr>
                    <w:pStyle w:val="215"/>
                    <w:rPr>
                      <w:color w:val="FF0000"/>
                      <w:lang w:bidi="ar"/>
                    </w:rPr>
                  </w:pPr>
                  <w:r>
                    <w:rPr>
                      <w:rFonts w:hint="eastAsia"/>
                      <w:color w:val="FF0000"/>
                      <w:lang w:bidi="ar"/>
                    </w:rPr>
                    <w:t>第1次</w:t>
                  </w:r>
                </w:p>
              </w:tc>
              <w:tc>
                <w:tcPr>
                  <w:tcW w:w="1573" w:type="dxa"/>
                  <w:vAlign w:val="center"/>
                </w:tcPr>
                <w:p>
                  <w:pPr>
                    <w:pStyle w:val="215"/>
                    <w:rPr>
                      <w:color w:val="FF0000"/>
                      <w:lang w:bidi="ar"/>
                    </w:rPr>
                  </w:pPr>
                  <w:r>
                    <w:rPr>
                      <w:rFonts w:hint="eastAsia"/>
                      <w:color w:val="FF0000"/>
                      <w:lang w:bidi="ar"/>
                    </w:rPr>
                    <w:t>0.68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w:t>
                  </w:r>
                  <w:r>
                    <w:rPr>
                      <w:rFonts w:hint="eastAsia"/>
                      <w:color w:val="FF0000"/>
                    </w:rPr>
                    <w:t>2</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第2次</w:t>
                  </w:r>
                </w:p>
              </w:tc>
              <w:tc>
                <w:tcPr>
                  <w:tcW w:w="1573" w:type="dxa"/>
                  <w:vAlign w:val="center"/>
                </w:tcPr>
                <w:p>
                  <w:pPr>
                    <w:pStyle w:val="215"/>
                    <w:rPr>
                      <w:color w:val="FF0000"/>
                      <w:lang w:bidi="ar"/>
                    </w:rPr>
                  </w:pPr>
                  <w:r>
                    <w:rPr>
                      <w:rFonts w:hint="eastAsia"/>
                      <w:color w:val="FF0000"/>
                      <w:lang w:bidi="ar"/>
                    </w:rPr>
                    <w:t>0.70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w:t>
                  </w:r>
                  <w:r>
                    <w:rPr>
                      <w:rFonts w:hint="eastAsia"/>
                      <w:color w:val="FF0000"/>
                    </w:rPr>
                    <w:t>3</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第3次</w:t>
                  </w:r>
                </w:p>
              </w:tc>
              <w:tc>
                <w:tcPr>
                  <w:tcW w:w="1573" w:type="dxa"/>
                  <w:vAlign w:val="center"/>
                </w:tcPr>
                <w:p>
                  <w:pPr>
                    <w:pStyle w:val="215"/>
                    <w:rPr>
                      <w:color w:val="FF0000"/>
                      <w:lang w:bidi="ar"/>
                    </w:rPr>
                  </w:pPr>
                  <w:r>
                    <w:rPr>
                      <w:rFonts w:hint="eastAsia"/>
                      <w:color w:val="FF0000"/>
                      <w:lang w:bidi="ar"/>
                    </w:rPr>
                    <w:t>0.74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w:t>
                  </w:r>
                  <w:r>
                    <w:rPr>
                      <w:rFonts w:hint="eastAsia"/>
                      <w:color w:val="FF0000"/>
                    </w:rPr>
                    <w:t>4</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第4次</w:t>
                  </w:r>
                </w:p>
              </w:tc>
              <w:tc>
                <w:tcPr>
                  <w:tcW w:w="1573" w:type="dxa"/>
                  <w:vAlign w:val="center"/>
                </w:tcPr>
                <w:p>
                  <w:pPr>
                    <w:pStyle w:val="215"/>
                    <w:rPr>
                      <w:color w:val="FF0000"/>
                      <w:lang w:bidi="ar"/>
                    </w:rPr>
                  </w:pPr>
                  <w:r>
                    <w:rPr>
                      <w:rFonts w:hint="eastAsia"/>
                      <w:color w:val="FF0000"/>
                      <w:lang w:bidi="ar"/>
                    </w:rPr>
                    <w:t>0.75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restart"/>
                  <w:vAlign w:val="center"/>
                </w:tcPr>
                <w:p>
                  <w:pPr>
                    <w:pStyle w:val="215"/>
                    <w:rPr>
                      <w:color w:val="FF0000"/>
                    </w:rPr>
                  </w:pPr>
                  <w:r>
                    <w:rPr>
                      <w:rFonts w:hint="eastAsia"/>
                      <w:color w:val="FF0000"/>
                    </w:rPr>
                    <w:t>2022年6月2日</w:t>
                  </w: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-1-</w:t>
                  </w:r>
                  <w:r>
                    <w:rPr>
                      <w:rFonts w:hint="eastAsia"/>
                      <w:color w:val="FF0000"/>
                    </w:rPr>
                    <w:t>m</w:t>
                  </w:r>
                </w:p>
              </w:tc>
              <w:tc>
                <w:tcPr>
                  <w:tcW w:w="1571" w:type="dxa"/>
                  <w:vAlign w:val="center"/>
                </w:tcPr>
                <w:p>
                  <w:pPr>
                    <w:pStyle w:val="215"/>
                    <w:rPr>
                      <w:color w:val="FF0000"/>
                      <w:lang w:bidi="ar"/>
                    </w:rPr>
                  </w:pPr>
                  <w:r>
                    <w:rPr>
                      <w:rFonts w:hint="eastAsia"/>
                      <w:color w:val="FF0000"/>
                      <w:lang w:bidi="ar"/>
                    </w:rPr>
                    <w:t>第1次</w:t>
                  </w:r>
                </w:p>
              </w:tc>
              <w:tc>
                <w:tcPr>
                  <w:tcW w:w="1573" w:type="dxa"/>
                  <w:vAlign w:val="center"/>
                </w:tcPr>
                <w:p>
                  <w:pPr>
                    <w:pStyle w:val="215"/>
                    <w:rPr>
                      <w:color w:val="FF0000"/>
                      <w:lang w:bidi="ar"/>
                    </w:rPr>
                  </w:pPr>
                  <w:r>
                    <w:rPr>
                      <w:rFonts w:hint="eastAsia"/>
                      <w:color w:val="FF0000"/>
                      <w:lang w:bidi="ar"/>
                    </w:rPr>
                    <w:t>0.58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w:t>
                  </w:r>
                  <w:r>
                    <w:rPr>
                      <w:rFonts w:hint="eastAsia"/>
                      <w:color w:val="FF0000"/>
                    </w:rPr>
                    <w:t>2</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第2次</w:t>
                  </w:r>
                </w:p>
              </w:tc>
              <w:tc>
                <w:tcPr>
                  <w:tcW w:w="1573" w:type="dxa"/>
                  <w:vAlign w:val="center"/>
                </w:tcPr>
                <w:p>
                  <w:pPr>
                    <w:pStyle w:val="215"/>
                    <w:rPr>
                      <w:color w:val="FF0000"/>
                      <w:lang w:bidi="ar"/>
                    </w:rPr>
                  </w:pPr>
                  <w:r>
                    <w:rPr>
                      <w:rFonts w:hint="eastAsia"/>
                      <w:color w:val="FF0000"/>
                      <w:lang w:bidi="ar"/>
                    </w:rPr>
                    <w:t>0.58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w:t>
                  </w:r>
                  <w:r>
                    <w:rPr>
                      <w:rFonts w:hint="eastAsia"/>
                      <w:color w:val="FF0000"/>
                    </w:rPr>
                    <w:t>3</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第3次</w:t>
                  </w:r>
                </w:p>
              </w:tc>
              <w:tc>
                <w:tcPr>
                  <w:tcW w:w="1573" w:type="dxa"/>
                  <w:vAlign w:val="center"/>
                </w:tcPr>
                <w:p>
                  <w:pPr>
                    <w:pStyle w:val="215"/>
                    <w:rPr>
                      <w:color w:val="FF0000"/>
                      <w:lang w:bidi="ar"/>
                    </w:rPr>
                  </w:pPr>
                  <w:r>
                    <w:rPr>
                      <w:rFonts w:hint="eastAsia"/>
                      <w:color w:val="FF0000"/>
                      <w:lang w:bidi="ar"/>
                    </w:rPr>
                    <w:t>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w:t>
                  </w:r>
                  <w:r>
                    <w:rPr>
                      <w:rFonts w:hint="eastAsia"/>
                      <w:color w:val="FF0000"/>
                    </w:rPr>
                    <w:t>4</w:t>
                  </w:r>
                  <w:r>
                    <w:rPr>
                      <w:color w:val="FF0000"/>
                    </w:rPr>
                    <w:t>-</w:t>
                  </w:r>
                  <w:r>
                    <w:rPr>
                      <w:rFonts w:hint="eastAsia"/>
                      <w:color w:val="FF0000"/>
                    </w:rPr>
                    <w:t>m</w:t>
                  </w:r>
                </w:p>
              </w:tc>
              <w:tc>
                <w:tcPr>
                  <w:tcW w:w="1571" w:type="dxa"/>
                  <w:vAlign w:val="center"/>
                </w:tcPr>
                <w:p>
                  <w:pPr>
                    <w:pStyle w:val="215"/>
                    <w:rPr>
                      <w:color w:val="FF0000"/>
                      <w:lang w:bidi="ar"/>
                    </w:rPr>
                  </w:pPr>
                  <w:r>
                    <w:rPr>
                      <w:rFonts w:hint="eastAsia"/>
                      <w:color w:val="FF0000"/>
                      <w:lang w:bidi="ar"/>
                    </w:rPr>
                    <w:t>第4次</w:t>
                  </w:r>
                </w:p>
              </w:tc>
              <w:tc>
                <w:tcPr>
                  <w:tcW w:w="1573" w:type="dxa"/>
                  <w:vAlign w:val="center"/>
                </w:tcPr>
                <w:p>
                  <w:pPr>
                    <w:pStyle w:val="215"/>
                    <w:rPr>
                      <w:color w:val="FF0000"/>
                      <w:lang w:bidi="ar"/>
                    </w:rPr>
                  </w:pPr>
                  <w:r>
                    <w:rPr>
                      <w:rFonts w:hint="eastAsia"/>
                      <w:color w:val="FF0000"/>
                      <w:lang w:bidi="ar"/>
                    </w:rPr>
                    <w:t>0.57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363" w:type="dxa"/>
                  <w:gridSpan w:val="4"/>
                  <w:vAlign w:val="center"/>
                </w:tcPr>
                <w:p>
                  <w:pPr>
                    <w:pStyle w:val="215"/>
                    <w:rPr>
                      <w:color w:val="FF0000"/>
                      <w:lang w:bidi="ar"/>
                    </w:rPr>
                  </w:pPr>
                  <w:r>
                    <w:rPr>
                      <w:color w:val="FF0000"/>
                    </w:rPr>
                    <w:t>《</w:t>
                  </w:r>
                  <w:r>
                    <w:rPr>
                      <w:rFonts w:hint="eastAsia"/>
                      <w:color w:val="FF0000"/>
                    </w:rPr>
                    <w:t>大气污染物综合排放标准详解</w:t>
                  </w:r>
                  <w:r>
                    <w:rPr>
                      <w:color w:val="FF0000"/>
                    </w:rPr>
                    <w:t>》中的浓度限值</w:t>
                  </w:r>
                </w:p>
              </w:tc>
              <w:tc>
                <w:tcPr>
                  <w:tcW w:w="1573" w:type="dxa"/>
                  <w:vAlign w:val="center"/>
                </w:tcPr>
                <w:p>
                  <w:pPr>
                    <w:pStyle w:val="215"/>
                    <w:rPr>
                      <w:color w:val="FF0000"/>
                      <w:lang w:bidi="ar"/>
                    </w:rPr>
                  </w:pPr>
                  <w:r>
                    <w:rPr>
                      <w:rFonts w:hint="eastAsia"/>
                      <w:color w:val="FF0000"/>
                      <w:lang w:bidi="ar"/>
                    </w:rPr>
                    <w:t>2.0</w:t>
                  </w:r>
                  <w:r>
                    <w:rPr>
                      <w:rFonts w:hint="eastAsia"/>
                      <w:color w:val="FF0000"/>
                    </w:rPr>
                    <w:t>m</w:t>
                  </w:r>
                  <w:r>
                    <w:rPr>
                      <w:color w:val="FF0000"/>
                    </w:rPr>
                    <w:t>g/</w:t>
                  </w:r>
                  <w:r>
                    <w:rPr>
                      <w:rFonts w:hint="eastAsia"/>
                      <w:color w:val="FF0000"/>
                    </w:rPr>
                    <w:t>m</w:t>
                  </w:r>
                  <w:r>
                    <w:rPr>
                      <w:rFonts w:hint="eastAsia"/>
                      <w:color w:val="FF0000"/>
                      <w:vertAlign w:val="superscript"/>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restart"/>
                  <w:vAlign w:val="center"/>
                </w:tcPr>
                <w:p>
                  <w:pPr>
                    <w:pStyle w:val="215"/>
                    <w:rPr>
                      <w:color w:val="FF0000"/>
                    </w:rPr>
                  </w:pPr>
                  <w:r>
                    <w:rPr>
                      <w:color w:val="FF0000"/>
                    </w:rPr>
                    <w:t>采样</w:t>
                  </w:r>
                  <w:r>
                    <w:rPr>
                      <w:rFonts w:hint="eastAsia"/>
                      <w:color w:val="FF0000"/>
                    </w:rPr>
                    <w:t>点位</w:t>
                  </w:r>
                </w:p>
              </w:tc>
              <w:tc>
                <w:tcPr>
                  <w:tcW w:w="1571" w:type="dxa"/>
                  <w:vMerge w:val="restart"/>
                  <w:vAlign w:val="center"/>
                </w:tcPr>
                <w:p>
                  <w:pPr>
                    <w:pStyle w:val="215"/>
                    <w:rPr>
                      <w:color w:val="FF0000"/>
                    </w:rPr>
                  </w:pPr>
                  <w:r>
                    <w:rPr>
                      <w:color w:val="FF0000"/>
                    </w:rPr>
                    <w:t>采样日期</w:t>
                  </w:r>
                </w:p>
              </w:tc>
              <w:tc>
                <w:tcPr>
                  <w:tcW w:w="1571" w:type="dxa"/>
                  <w:vMerge w:val="restart"/>
                  <w:vAlign w:val="center"/>
                </w:tcPr>
                <w:p>
                  <w:pPr>
                    <w:pStyle w:val="215"/>
                    <w:rPr>
                      <w:color w:val="FF0000"/>
                    </w:rPr>
                  </w:pPr>
                  <w:r>
                    <w:rPr>
                      <w:rFonts w:hint="eastAsia"/>
                      <w:color w:val="FF0000"/>
                    </w:rPr>
                    <w:t>样品编号</w:t>
                  </w:r>
                </w:p>
              </w:tc>
              <w:tc>
                <w:tcPr>
                  <w:tcW w:w="1571" w:type="dxa"/>
                  <w:vMerge w:val="restart"/>
                  <w:vAlign w:val="center"/>
                </w:tcPr>
                <w:p>
                  <w:pPr>
                    <w:pStyle w:val="215"/>
                    <w:rPr>
                      <w:color w:val="FF0000"/>
                      <w:lang w:bidi="ar"/>
                    </w:rPr>
                  </w:pPr>
                  <w:r>
                    <w:rPr>
                      <w:rFonts w:hint="eastAsia"/>
                      <w:color w:val="FF0000"/>
                    </w:rPr>
                    <w:t>采样频次</w:t>
                  </w:r>
                </w:p>
              </w:tc>
              <w:tc>
                <w:tcPr>
                  <w:tcW w:w="1573" w:type="dxa"/>
                  <w:vAlign w:val="center"/>
                </w:tcPr>
                <w:p>
                  <w:pPr>
                    <w:pStyle w:val="215"/>
                    <w:rPr>
                      <w:color w:val="FF0000"/>
                      <w:lang w:bidi="ar"/>
                    </w:rPr>
                  </w:pPr>
                  <w:r>
                    <w:rPr>
                      <w:color w:val="FF0000"/>
                    </w:rPr>
                    <w:t>检测项目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Merge w:val="continue"/>
                  <w:vAlign w:val="center"/>
                </w:tcPr>
                <w:p>
                  <w:pPr>
                    <w:pStyle w:val="215"/>
                    <w:rPr>
                      <w:color w:val="FF0000"/>
                      <w:lang w:bidi="ar"/>
                    </w:rPr>
                  </w:pPr>
                </w:p>
              </w:tc>
              <w:tc>
                <w:tcPr>
                  <w:tcW w:w="1573" w:type="dxa"/>
                  <w:vAlign w:val="center"/>
                </w:tcPr>
                <w:p>
                  <w:pPr>
                    <w:pStyle w:val="215"/>
                    <w:rPr>
                      <w:color w:val="FF0000"/>
                      <w:lang w:bidi="ar"/>
                    </w:rPr>
                  </w:pPr>
                  <w:r>
                    <w:rPr>
                      <w:rFonts w:hint="eastAsia"/>
                      <w:color w:val="FF0000"/>
                    </w:rPr>
                    <w:t>甲醛</w:t>
                  </w:r>
                  <w:r>
                    <w:rPr>
                      <w:color w:val="FF0000"/>
                    </w:rPr>
                    <w:t>(</w:t>
                  </w:r>
                  <w:r>
                    <w:rPr>
                      <w:rFonts w:hint="eastAsia"/>
                      <w:color w:val="FF0000"/>
                    </w:rPr>
                    <w:t>m</w:t>
                  </w:r>
                  <w:r>
                    <w:rPr>
                      <w:color w:val="FF0000"/>
                    </w:rPr>
                    <w:t>g/</w:t>
                  </w:r>
                  <w:r>
                    <w:rPr>
                      <w:rFonts w:hint="eastAsia"/>
                      <w:color w:val="FF0000"/>
                    </w:rPr>
                    <w:t>m</w:t>
                  </w:r>
                  <w:r>
                    <w:rPr>
                      <w:rFonts w:hint="eastAsia"/>
                      <w:color w:val="FF0000"/>
                      <w:vertAlign w:val="superscript"/>
                    </w:rPr>
                    <w:t>3</w:t>
                  </w:r>
                  <w:r>
                    <w:rPr>
                      <w:color w:val="FF0000"/>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restart"/>
                  <w:vAlign w:val="center"/>
                </w:tcPr>
                <w:p>
                  <w:pPr>
                    <w:pStyle w:val="215"/>
                    <w:rPr>
                      <w:color w:val="FF0000"/>
                    </w:rPr>
                  </w:pPr>
                  <w:r>
                    <w:rPr>
                      <w:rFonts w:hint="eastAsia"/>
                      <w:color w:val="FF0000"/>
                    </w:rPr>
                    <w:t>项目区下风向1m 1</w:t>
                  </w:r>
                  <w:r>
                    <w:rPr>
                      <w:rFonts w:hint="eastAsia"/>
                      <w:color w:val="FF0000"/>
                      <w:vertAlign w:val="superscript"/>
                    </w:rPr>
                    <w:t>#</w:t>
                  </w:r>
                  <w:r>
                    <w:rPr>
                      <w:rFonts w:hint="eastAsia"/>
                      <w:color w:val="FF0000"/>
                    </w:rPr>
                    <w:t xml:space="preserve"> </w:t>
                  </w:r>
                </w:p>
                <w:p>
                  <w:pPr>
                    <w:pStyle w:val="215"/>
                    <w:rPr>
                      <w:color w:val="FF0000"/>
                    </w:rPr>
                  </w:pPr>
                  <w:r>
                    <w:rPr>
                      <w:rFonts w:hint="eastAsia"/>
                      <w:color w:val="FF0000"/>
                    </w:rPr>
                    <w:t>（87</w:t>
                  </w:r>
                  <w:r>
                    <w:rPr>
                      <w:color w:val="FF0000"/>
                    </w:rPr>
                    <w:t>°</w:t>
                  </w:r>
                  <w:r>
                    <w:rPr>
                      <w:rFonts w:hint="eastAsia"/>
                      <w:color w:val="FF0000"/>
                    </w:rPr>
                    <w:t>2</w:t>
                  </w:r>
                  <w:r>
                    <w:rPr>
                      <w:color w:val="FF0000"/>
                    </w:rPr>
                    <w:t>′</w:t>
                  </w:r>
                  <w:r>
                    <w:rPr>
                      <w:rFonts w:hint="eastAsia"/>
                      <w:color w:val="FF0000"/>
                    </w:rPr>
                    <w:t>43.45</w:t>
                  </w:r>
                  <w:r>
                    <w:rPr>
                      <w:color w:val="FF0000"/>
                    </w:rPr>
                    <w:t>″E</w:t>
                  </w:r>
                </w:p>
                <w:p>
                  <w:pPr>
                    <w:pStyle w:val="215"/>
                    <w:rPr>
                      <w:color w:val="FF0000"/>
                    </w:rPr>
                  </w:pPr>
                  <w:r>
                    <w:rPr>
                      <w:rFonts w:hint="eastAsia"/>
                      <w:color w:val="FF0000"/>
                    </w:rPr>
                    <w:t>44</w:t>
                  </w:r>
                  <w:r>
                    <w:rPr>
                      <w:color w:val="FF0000"/>
                    </w:rPr>
                    <w:t>°</w:t>
                  </w:r>
                  <w:r>
                    <w:rPr>
                      <w:rFonts w:hint="eastAsia"/>
                      <w:color w:val="FF0000"/>
                    </w:rPr>
                    <w:t>7</w:t>
                  </w:r>
                  <w:r>
                    <w:rPr>
                      <w:color w:val="FF0000"/>
                    </w:rPr>
                    <w:t>′</w:t>
                  </w:r>
                  <w:r>
                    <w:rPr>
                      <w:rFonts w:hint="eastAsia"/>
                      <w:color w:val="FF0000"/>
                    </w:rPr>
                    <w:t>12.85</w:t>
                  </w:r>
                  <w:r>
                    <w:rPr>
                      <w:color w:val="FF0000"/>
                    </w:rPr>
                    <w:t>″N</w:t>
                  </w:r>
                  <w:r>
                    <w:rPr>
                      <w:rFonts w:hint="eastAsia"/>
                      <w:color w:val="FF0000"/>
                    </w:rPr>
                    <w:t>）</w:t>
                  </w:r>
                </w:p>
              </w:tc>
              <w:tc>
                <w:tcPr>
                  <w:tcW w:w="1571" w:type="dxa"/>
                  <w:vMerge w:val="restart"/>
                  <w:vAlign w:val="center"/>
                </w:tcPr>
                <w:p>
                  <w:pPr>
                    <w:pStyle w:val="215"/>
                    <w:rPr>
                      <w:color w:val="FF0000"/>
                    </w:rPr>
                  </w:pPr>
                  <w:r>
                    <w:rPr>
                      <w:rFonts w:hint="eastAsia"/>
                      <w:color w:val="FF0000"/>
                    </w:rPr>
                    <w:t>2022年5月31日</w:t>
                  </w:r>
                </w:p>
              </w:tc>
              <w:tc>
                <w:tcPr>
                  <w:tcW w:w="1571" w:type="dxa"/>
                  <w:vAlign w:val="center"/>
                </w:tcPr>
                <w:p>
                  <w:pPr>
                    <w:pStyle w:val="215"/>
                    <w:rPr>
                      <w:color w:val="FF0000"/>
                    </w:rPr>
                  </w:pPr>
                  <w:r>
                    <w:rPr>
                      <w:color w:val="FF0000"/>
                    </w:rPr>
                    <w:t>HQ-1</w:t>
                  </w:r>
                  <w:r>
                    <w:rPr>
                      <w:color w:val="FF0000"/>
                      <w:vertAlign w:val="superscript"/>
                    </w:rPr>
                    <w:t>#</w:t>
                  </w:r>
                  <w:r>
                    <w:rPr>
                      <w:color w:val="FF0000"/>
                    </w:rPr>
                    <w:t>-1-1</w:t>
                  </w:r>
                  <w:r>
                    <w:rPr>
                      <w:rFonts w:hint="eastAsia"/>
                      <w:color w:val="FF0000"/>
                    </w:rPr>
                    <w:t>-k</w:t>
                  </w:r>
                </w:p>
              </w:tc>
              <w:tc>
                <w:tcPr>
                  <w:tcW w:w="1571" w:type="dxa"/>
                  <w:vAlign w:val="center"/>
                </w:tcPr>
                <w:p>
                  <w:pPr>
                    <w:pStyle w:val="215"/>
                    <w:rPr>
                      <w:color w:val="FF0000"/>
                      <w:lang w:bidi="ar"/>
                    </w:rPr>
                  </w:pPr>
                  <w:r>
                    <w:rPr>
                      <w:rFonts w:hint="eastAsia"/>
                      <w:color w:val="FF0000"/>
                      <w:lang w:bidi="ar"/>
                    </w:rPr>
                    <w:t>第1次</w:t>
                  </w:r>
                </w:p>
              </w:tc>
              <w:tc>
                <w:tcPr>
                  <w:tcW w:w="1573" w:type="dxa"/>
                  <w:vAlign w:val="center"/>
                </w:tcPr>
                <w:p>
                  <w:pPr>
                    <w:pStyle w:val="215"/>
                    <w:rPr>
                      <w:color w:val="FF0000"/>
                      <w:lang w:bidi="ar"/>
                    </w:rPr>
                  </w:pPr>
                  <w:r>
                    <w:rPr>
                      <w:rFonts w:hint="eastAsia"/>
                      <w:color w:val="FF0000"/>
                      <w:lang w:bidi="ar"/>
                    </w:rPr>
                    <w:t>0.044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1</w:t>
                  </w:r>
                  <w:r>
                    <w:rPr>
                      <w:color w:val="FF0000"/>
                    </w:rPr>
                    <w:t>-</w:t>
                  </w:r>
                  <w:r>
                    <w:rPr>
                      <w:rFonts w:hint="eastAsia"/>
                      <w:color w:val="FF0000"/>
                    </w:rPr>
                    <w:t>2-k</w:t>
                  </w:r>
                </w:p>
              </w:tc>
              <w:tc>
                <w:tcPr>
                  <w:tcW w:w="1571" w:type="dxa"/>
                  <w:vAlign w:val="center"/>
                </w:tcPr>
                <w:p>
                  <w:pPr>
                    <w:pStyle w:val="215"/>
                    <w:rPr>
                      <w:color w:val="FF0000"/>
                      <w:lang w:bidi="ar"/>
                    </w:rPr>
                  </w:pPr>
                  <w:r>
                    <w:rPr>
                      <w:rFonts w:hint="eastAsia"/>
                      <w:color w:val="FF0000"/>
                      <w:lang w:bidi="ar"/>
                    </w:rPr>
                    <w:t>第2次</w:t>
                  </w:r>
                </w:p>
              </w:tc>
              <w:tc>
                <w:tcPr>
                  <w:tcW w:w="1573" w:type="dxa"/>
                  <w:vAlign w:val="center"/>
                </w:tcPr>
                <w:p>
                  <w:pPr>
                    <w:pStyle w:val="215"/>
                    <w:rPr>
                      <w:color w:val="FF0000"/>
                      <w:lang w:bidi="ar"/>
                    </w:rPr>
                  </w:pPr>
                  <w:r>
                    <w:rPr>
                      <w:rFonts w:hint="eastAsia"/>
                      <w:color w:val="FF0000"/>
                      <w:lang w:bidi="ar"/>
                    </w:rPr>
                    <w:t>0.055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1</w:t>
                  </w:r>
                  <w:r>
                    <w:rPr>
                      <w:color w:val="FF0000"/>
                    </w:rPr>
                    <w:t>-</w:t>
                  </w:r>
                  <w:r>
                    <w:rPr>
                      <w:rFonts w:hint="eastAsia"/>
                      <w:color w:val="FF0000"/>
                    </w:rPr>
                    <w:t>3-k</w:t>
                  </w:r>
                </w:p>
              </w:tc>
              <w:tc>
                <w:tcPr>
                  <w:tcW w:w="1571" w:type="dxa"/>
                  <w:vAlign w:val="center"/>
                </w:tcPr>
                <w:p>
                  <w:pPr>
                    <w:pStyle w:val="215"/>
                    <w:rPr>
                      <w:color w:val="FF0000"/>
                      <w:lang w:bidi="ar"/>
                    </w:rPr>
                  </w:pPr>
                  <w:r>
                    <w:rPr>
                      <w:rFonts w:hint="eastAsia"/>
                      <w:color w:val="FF0000"/>
                      <w:lang w:bidi="ar"/>
                    </w:rPr>
                    <w:t>第3次</w:t>
                  </w:r>
                </w:p>
              </w:tc>
              <w:tc>
                <w:tcPr>
                  <w:tcW w:w="1573" w:type="dxa"/>
                  <w:vAlign w:val="center"/>
                </w:tcPr>
                <w:p>
                  <w:pPr>
                    <w:pStyle w:val="215"/>
                    <w:rPr>
                      <w:color w:val="FF0000"/>
                      <w:lang w:bidi="ar"/>
                    </w:rPr>
                  </w:pPr>
                  <w:r>
                    <w:rPr>
                      <w:rFonts w:hint="eastAsia"/>
                      <w:color w:val="FF0000"/>
                      <w:lang w:bidi="ar"/>
                    </w:rPr>
                    <w:t>0.051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1</w:t>
                  </w:r>
                  <w:r>
                    <w:rPr>
                      <w:color w:val="FF0000"/>
                    </w:rPr>
                    <w:t>-</w:t>
                  </w:r>
                  <w:r>
                    <w:rPr>
                      <w:rFonts w:hint="eastAsia"/>
                      <w:color w:val="FF0000"/>
                    </w:rPr>
                    <w:t>4-k</w:t>
                  </w:r>
                </w:p>
              </w:tc>
              <w:tc>
                <w:tcPr>
                  <w:tcW w:w="1571" w:type="dxa"/>
                  <w:vAlign w:val="center"/>
                </w:tcPr>
                <w:p>
                  <w:pPr>
                    <w:pStyle w:val="215"/>
                    <w:rPr>
                      <w:color w:val="FF0000"/>
                      <w:lang w:bidi="ar"/>
                    </w:rPr>
                  </w:pPr>
                  <w:r>
                    <w:rPr>
                      <w:rFonts w:hint="eastAsia"/>
                      <w:color w:val="FF0000"/>
                      <w:lang w:bidi="ar"/>
                    </w:rPr>
                    <w:t>第4次</w:t>
                  </w:r>
                </w:p>
              </w:tc>
              <w:tc>
                <w:tcPr>
                  <w:tcW w:w="1573" w:type="dxa"/>
                  <w:vAlign w:val="center"/>
                </w:tcPr>
                <w:p>
                  <w:pPr>
                    <w:pStyle w:val="215"/>
                    <w:rPr>
                      <w:color w:val="FF0000"/>
                      <w:lang w:bidi="ar"/>
                    </w:rPr>
                  </w:pPr>
                  <w:r>
                    <w:rPr>
                      <w:rFonts w:hint="eastAsia"/>
                      <w:color w:val="FF0000"/>
                      <w:lang w:bidi="ar"/>
                    </w:rPr>
                    <w:t>0.045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restart"/>
                  <w:vAlign w:val="center"/>
                </w:tcPr>
                <w:p>
                  <w:pPr>
                    <w:pStyle w:val="215"/>
                    <w:rPr>
                      <w:color w:val="FF0000"/>
                    </w:rPr>
                  </w:pPr>
                  <w:r>
                    <w:rPr>
                      <w:rFonts w:hint="eastAsia"/>
                      <w:color w:val="FF0000"/>
                    </w:rPr>
                    <w:t>2022年6月1日</w:t>
                  </w: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-1</w:t>
                  </w:r>
                  <w:r>
                    <w:rPr>
                      <w:rFonts w:hint="eastAsia"/>
                      <w:color w:val="FF0000"/>
                    </w:rPr>
                    <w:t>-k</w:t>
                  </w:r>
                </w:p>
              </w:tc>
              <w:tc>
                <w:tcPr>
                  <w:tcW w:w="1571" w:type="dxa"/>
                  <w:vAlign w:val="center"/>
                </w:tcPr>
                <w:p>
                  <w:pPr>
                    <w:pStyle w:val="215"/>
                    <w:rPr>
                      <w:color w:val="FF0000"/>
                      <w:lang w:bidi="ar"/>
                    </w:rPr>
                  </w:pPr>
                  <w:r>
                    <w:rPr>
                      <w:rFonts w:hint="eastAsia"/>
                      <w:color w:val="FF0000"/>
                      <w:lang w:bidi="ar"/>
                    </w:rPr>
                    <w:t>第1次</w:t>
                  </w:r>
                </w:p>
              </w:tc>
              <w:tc>
                <w:tcPr>
                  <w:tcW w:w="1573" w:type="dxa"/>
                  <w:vAlign w:val="center"/>
                </w:tcPr>
                <w:p>
                  <w:pPr>
                    <w:pStyle w:val="215"/>
                    <w:rPr>
                      <w:color w:val="FF0000"/>
                      <w:lang w:bidi="ar"/>
                    </w:rPr>
                  </w:pPr>
                  <w:r>
                    <w:rPr>
                      <w:rFonts w:hint="eastAsia"/>
                      <w:color w:val="FF0000"/>
                      <w:lang w:bidi="ar"/>
                    </w:rPr>
                    <w:t>0.049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w:t>
                  </w:r>
                  <w:r>
                    <w:rPr>
                      <w:rFonts w:hint="eastAsia"/>
                      <w:color w:val="FF0000"/>
                    </w:rPr>
                    <w:t>2-k</w:t>
                  </w:r>
                </w:p>
              </w:tc>
              <w:tc>
                <w:tcPr>
                  <w:tcW w:w="1571" w:type="dxa"/>
                  <w:vAlign w:val="center"/>
                </w:tcPr>
                <w:p>
                  <w:pPr>
                    <w:pStyle w:val="215"/>
                    <w:rPr>
                      <w:color w:val="FF0000"/>
                      <w:lang w:bidi="ar"/>
                    </w:rPr>
                  </w:pPr>
                  <w:r>
                    <w:rPr>
                      <w:rFonts w:hint="eastAsia"/>
                      <w:color w:val="FF0000"/>
                      <w:lang w:bidi="ar"/>
                    </w:rPr>
                    <w:t>第2次</w:t>
                  </w:r>
                </w:p>
              </w:tc>
              <w:tc>
                <w:tcPr>
                  <w:tcW w:w="1573" w:type="dxa"/>
                  <w:vAlign w:val="center"/>
                </w:tcPr>
                <w:p>
                  <w:pPr>
                    <w:pStyle w:val="215"/>
                    <w:rPr>
                      <w:color w:val="FF0000"/>
                      <w:lang w:bidi="ar"/>
                    </w:rPr>
                  </w:pPr>
                  <w:r>
                    <w:rPr>
                      <w:rFonts w:hint="eastAsia"/>
                      <w:color w:val="FF0000"/>
                      <w:lang w:bidi="ar"/>
                    </w:rPr>
                    <w:t>0.060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w:t>
                  </w:r>
                  <w:r>
                    <w:rPr>
                      <w:rFonts w:hint="eastAsia"/>
                      <w:color w:val="FF0000"/>
                    </w:rPr>
                    <w:t>3-k</w:t>
                  </w:r>
                </w:p>
              </w:tc>
              <w:tc>
                <w:tcPr>
                  <w:tcW w:w="1571" w:type="dxa"/>
                  <w:vAlign w:val="center"/>
                </w:tcPr>
                <w:p>
                  <w:pPr>
                    <w:pStyle w:val="215"/>
                    <w:rPr>
                      <w:color w:val="FF0000"/>
                      <w:lang w:bidi="ar"/>
                    </w:rPr>
                  </w:pPr>
                  <w:r>
                    <w:rPr>
                      <w:rFonts w:hint="eastAsia"/>
                      <w:color w:val="FF0000"/>
                      <w:lang w:bidi="ar"/>
                    </w:rPr>
                    <w:t>第3次</w:t>
                  </w:r>
                </w:p>
              </w:tc>
              <w:tc>
                <w:tcPr>
                  <w:tcW w:w="1573" w:type="dxa"/>
                  <w:vAlign w:val="center"/>
                </w:tcPr>
                <w:p>
                  <w:pPr>
                    <w:pStyle w:val="215"/>
                    <w:rPr>
                      <w:color w:val="FF0000"/>
                      <w:lang w:bidi="ar"/>
                    </w:rPr>
                  </w:pPr>
                  <w:r>
                    <w:rPr>
                      <w:rFonts w:hint="eastAsia"/>
                      <w:color w:val="FF0000"/>
                      <w:lang w:bidi="ar"/>
                    </w:rPr>
                    <w:t>0.045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2</w:t>
                  </w:r>
                  <w:r>
                    <w:rPr>
                      <w:color w:val="FF0000"/>
                    </w:rPr>
                    <w:t>-</w:t>
                  </w:r>
                  <w:r>
                    <w:rPr>
                      <w:rFonts w:hint="eastAsia"/>
                      <w:color w:val="FF0000"/>
                    </w:rPr>
                    <w:t>4-k</w:t>
                  </w:r>
                </w:p>
              </w:tc>
              <w:tc>
                <w:tcPr>
                  <w:tcW w:w="1571" w:type="dxa"/>
                  <w:vAlign w:val="center"/>
                </w:tcPr>
                <w:p>
                  <w:pPr>
                    <w:pStyle w:val="215"/>
                    <w:rPr>
                      <w:color w:val="FF0000"/>
                      <w:lang w:bidi="ar"/>
                    </w:rPr>
                  </w:pPr>
                  <w:r>
                    <w:rPr>
                      <w:rFonts w:hint="eastAsia"/>
                      <w:color w:val="FF0000"/>
                      <w:lang w:bidi="ar"/>
                    </w:rPr>
                    <w:t>第4次</w:t>
                  </w:r>
                </w:p>
              </w:tc>
              <w:tc>
                <w:tcPr>
                  <w:tcW w:w="1573" w:type="dxa"/>
                  <w:vAlign w:val="center"/>
                </w:tcPr>
                <w:p>
                  <w:pPr>
                    <w:pStyle w:val="215"/>
                    <w:rPr>
                      <w:color w:val="FF0000"/>
                      <w:lang w:bidi="ar"/>
                    </w:rPr>
                  </w:pPr>
                  <w:r>
                    <w:rPr>
                      <w:rFonts w:hint="eastAsia"/>
                      <w:color w:val="FF0000"/>
                      <w:lang w:bidi="ar"/>
                    </w:rPr>
                    <w:t>0.055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restart"/>
                  <w:vAlign w:val="center"/>
                </w:tcPr>
                <w:p>
                  <w:pPr>
                    <w:pStyle w:val="215"/>
                    <w:rPr>
                      <w:color w:val="FF0000"/>
                    </w:rPr>
                  </w:pPr>
                  <w:r>
                    <w:rPr>
                      <w:rFonts w:hint="eastAsia"/>
                      <w:color w:val="FF0000"/>
                    </w:rPr>
                    <w:t>2022年6月2日</w:t>
                  </w: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-1</w:t>
                  </w:r>
                  <w:r>
                    <w:rPr>
                      <w:rFonts w:hint="eastAsia"/>
                      <w:color w:val="FF0000"/>
                    </w:rPr>
                    <w:t>-k</w:t>
                  </w:r>
                </w:p>
              </w:tc>
              <w:tc>
                <w:tcPr>
                  <w:tcW w:w="1571" w:type="dxa"/>
                  <w:vAlign w:val="center"/>
                </w:tcPr>
                <w:p>
                  <w:pPr>
                    <w:pStyle w:val="215"/>
                    <w:rPr>
                      <w:color w:val="FF0000"/>
                      <w:lang w:bidi="ar"/>
                    </w:rPr>
                  </w:pPr>
                  <w:r>
                    <w:rPr>
                      <w:rFonts w:hint="eastAsia"/>
                      <w:color w:val="FF0000"/>
                      <w:lang w:bidi="ar"/>
                    </w:rPr>
                    <w:t>第1次</w:t>
                  </w:r>
                </w:p>
              </w:tc>
              <w:tc>
                <w:tcPr>
                  <w:tcW w:w="1573" w:type="dxa"/>
                  <w:vAlign w:val="center"/>
                </w:tcPr>
                <w:p>
                  <w:pPr>
                    <w:pStyle w:val="215"/>
                    <w:rPr>
                      <w:color w:val="FF0000"/>
                      <w:lang w:bidi="ar"/>
                    </w:rPr>
                  </w:pPr>
                  <w:r>
                    <w:rPr>
                      <w:rFonts w:hint="eastAsia"/>
                      <w:color w:val="FF0000"/>
                      <w:lang w:bidi="ar"/>
                    </w:rPr>
                    <w:t>0.054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w:t>
                  </w:r>
                  <w:r>
                    <w:rPr>
                      <w:rFonts w:hint="eastAsia"/>
                      <w:color w:val="FF0000"/>
                    </w:rPr>
                    <w:t>2-k</w:t>
                  </w:r>
                </w:p>
              </w:tc>
              <w:tc>
                <w:tcPr>
                  <w:tcW w:w="1571" w:type="dxa"/>
                  <w:vAlign w:val="center"/>
                </w:tcPr>
                <w:p>
                  <w:pPr>
                    <w:pStyle w:val="215"/>
                    <w:rPr>
                      <w:color w:val="FF0000"/>
                      <w:lang w:bidi="ar"/>
                    </w:rPr>
                  </w:pPr>
                  <w:r>
                    <w:rPr>
                      <w:rFonts w:hint="eastAsia"/>
                      <w:color w:val="FF0000"/>
                      <w:lang w:bidi="ar"/>
                    </w:rPr>
                    <w:t>第2次</w:t>
                  </w:r>
                </w:p>
              </w:tc>
              <w:tc>
                <w:tcPr>
                  <w:tcW w:w="1573" w:type="dxa"/>
                  <w:vAlign w:val="center"/>
                </w:tcPr>
                <w:p>
                  <w:pPr>
                    <w:pStyle w:val="215"/>
                    <w:rPr>
                      <w:color w:val="FF0000"/>
                      <w:lang w:bidi="ar"/>
                    </w:rPr>
                  </w:pPr>
                  <w:r>
                    <w:rPr>
                      <w:rFonts w:hint="eastAsia"/>
                      <w:color w:val="FF0000"/>
                      <w:lang w:bidi="ar"/>
                    </w:rPr>
                    <w:t>0.049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w:t>
                  </w:r>
                  <w:r>
                    <w:rPr>
                      <w:rFonts w:hint="eastAsia"/>
                      <w:color w:val="FF0000"/>
                    </w:rPr>
                    <w:t>3-k</w:t>
                  </w:r>
                </w:p>
              </w:tc>
              <w:tc>
                <w:tcPr>
                  <w:tcW w:w="1571" w:type="dxa"/>
                  <w:vAlign w:val="center"/>
                </w:tcPr>
                <w:p>
                  <w:pPr>
                    <w:pStyle w:val="215"/>
                    <w:rPr>
                      <w:color w:val="FF0000"/>
                      <w:lang w:bidi="ar"/>
                    </w:rPr>
                  </w:pPr>
                  <w:r>
                    <w:rPr>
                      <w:rFonts w:hint="eastAsia"/>
                      <w:color w:val="FF0000"/>
                      <w:lang w:bidi="ar"/>
                    </w:rPr>
                    <w:t>第3次</w:t>
                  </w:r>
                </w:p>
              </w:tc>
              <w:tc>
                <w:tcPr>
                  <w:tcW w:w="1573" w:type="dxa"/>
                  <w:vAlign w:val="center"/>
                </w:tcPr>
                <w:p>
                  <w:pPr>
                    <w:pStyle w:val="215"/>
                    <w:rPr>
                      <w:color w:val="FF0000"/>
                      <w:lang w:bidi="ar"/>
                    </w:rPr>
                  </w:pPr>
                  <w:r>
                    <w:rPr>
                      <w:rFonts w:hint="eastAsia"/>
                      <w:color w:val="FF0000"/>
                      <w:lang w:bidi="ar"/>
                    </w:rPr>
                    <w:t>0.045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1647" w:type="dxa"/>
                  <w:vMerge w:val="continue"/>
                  <w:vAlign w:val="center"/>
                </w:tcPr>
                <w:p>
                  <w:pPr>
                    <w:pStyle w:val="215"/>
                    <w:rPr>
                      <w:color w:val="FF0000"/>
                    </w:rPr>
                  </w:pPr>
                </w:p>
              </w:tc>
              <w:tc>
                <w:tcPr>
                  <w:tcW w:w="1571" w:type="dxa"/>
                  <w:vMerge w:val="continue"/>
                  <w:vAlign w:val="center"/>
                </w:tcPr>
                <w:p>
                  <w:pPr>
                    <w:pStyle w:val="215"/>
                    <w:rPr>
                      <w:color w:val="FF0000"/>
                    </w:rPr>
                  </w:pPr>
                </w:p>
              </w:tc>
              <w:tc>
                <w:tcPr>
                  <w:tcW w:w="1571" w:type="dxa"/>
                  <w:vAlign w:val="center"/>
                </w:tcPr>
                <w:p>
                  <w:pPr>
                    <w:pStyle w:val="215"/>
                    <w:rPr>
                      <w:color w:val="FF0000"/>
                    </w:rPr>
                  </w:pPr>
                  <w:r>
                    <w:rPr>
                      <w:color w:val="FF0000"/>
                    </w:rPr>
                    <w:t>HQ-1</w:t>
                  </w:r>
                  <w:r>
                    <w:rPr>
                      <w:color w:val="FF0000"/>
                      <w:vertAlign w:val="superscript"/>
                    </w:rPr>
                    <w:t>#</w:t>
                  </w:r>
                  <w:r>
                    <w:rPr>
                      <w:color w:val="FF0000"/>
                    </w:rPr>
                    <w:t>-</w:t>
                  </w:r>
                  <w:r>
                    <w:rPr>
                      <w:rFonts w:hint="eastAsia"/>
                      <w:color w:val="FF0000"/>
                    </w:rPr>
                    <w:t>3</w:t>
                  </w:r>
                  <w:r>
                    <w:rPr>
                      <w:color w:val="FF0000"/>
                    </w:rPr>
                    <w:t>-</w:t>
                  </w:r>
                  <w:r>
                    <w:rPr>
                      <w:rFonts w:hint="eastAsia"/>
                      <w:color w:val="FF0000"/>
                    </w:rPr>
                    <w:t>4-k</w:t>
                  </w:r>
                </w:p>
              </w:tc>
              <w:tc>
                <w:tcPr>
                  <w:tcW w:w="1571" w:type="dxa"/>
                  <w:vAlign w:val="center"/>
                </w:tcPr>
                <w:p>
                  <w:pPr>
                    <w:pStyle w:val="215"/>
                    <w:rPr>
                      <w:color w:val="FF0000"/>
                      <w:lang w:bidi="ar"/>
                    </w:rPr>
                  </w:pPr>
                  <w:r>
                    <w:rPr>
                      <w:rFonts w:hint="eastAsia"/>
                      <w:color w:val="FF0000"/>
                      <w:lang w:bidi="ar"/>
                    </w:rPr>
                    <w:t>第4次</w:t>
                  </w:r>
                </w:p>
              </w:tc>
              <w:tc>
                <w:tcPr>
                  <w:tcW w:w="1573" w:type="dxa"/>
                  <w:vAlign w:val="center"/>
                </w:tcPr>
                <w:p>
                  <w:pPr>
                    <w:pStyle w:val="215"/>
                    <w:rPr>
                      <w:color w:val="FF0000"/>
                      <w:lang w:bidi="ar"/>
                    </w:rPr>
                  </w:pPr>
                  <w:r>
                    <w:rPr>
                      <w:rFonts w:hint="eastAsia"/>
                      <w:color w:val="FF0000"/>
                      <w:lang w:bidi="ar"/>
                    </w:rPr>
                    <w:t>0.039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363" w:type="dxa"/>
                  <w:gridSpan w:val="4"/>
                  <w:vAlign w:val="center"/>
                </w:tcPr>
                <w:p>
                  <w:pPr>
                    <w:pStyle w:val="215"/>
                    <w:rPr>
                      <w:color w:val="FF0000"/>
                    </w:rPr>
                  </w:pPr>
                  <w:r>
                    <w:rPr>
                      <w:color w:val="FF0000"/>
                    </w:rPr>
                    <w:t>《环境影响评价技术导则 大气环境》（HJ</w:t>
                  </w:r>
                  <w:r>
                    <w:rPr>
                      <w:rFonts w:hint="eastAsia"/>
                      <w:color w:val="FF0000"/>
                    </w:rPr>
                    <w:t xml:space="preserve"> </w:t>
                  </w:r>
                  <w:r>
                    <w:rPr>
                      <w:color w:val="FF0000"/>
                    </w:rPr>
                    <w:t>2.2-2018）附录D中的浓度限值</w:t>
                  </w:r>
                </w:p>
              </w:tc>
              <w:tc>
                <w:tcPr>
                  <w:tcW w:w="1573" w:type="dxa"/>
                  <w:vAlign w:val="center"/>
                </w:tcPr>
                <w:p>
                  <w:pPr>
                    <w:pStyle w:val="215"/>
                    <w:rPr>
                      <w:color w:val="FF0000"/>
                      <w:lang w:bidi="ar"/>
                    </w:rPr>
                  </w:pPr>
                  <w:r>
                    <w:rPr>
                      <w:rFonts w:hint="eastAsia"/>
                      <w:color w:val="FF0000"/>
                    </w:rPr>
                    <w:t>50</w:t>
                  </w:r>
                  <w:r>
                    <w:rPr>
                      <w:color w:val="FF0000"/>
                    </w:rPr>
                    <w:t>μg/m</w:t>
                  </w:r>
                  <w:r>
                    <w:rPr>
                      <w:color w:val="FF0000"/>
                      <w:vertAlign w:val="superscript"/>
                    </w:rPr>
                    <w:t>3</w:t>
                  </w:r>
                </w:p>
              </w:tc>
            </w:tr>
          </w:tbl>
          <w:p>
            <w:pPr>
              <w:adjustRightInd w:val="0"/>
              <w:snapToGrid w:val="0"/>
              <w:spacing w:after="120" w:afterLines="50" w:line="520" w:lineRule="exact"/>
              <w:ind w:firstLine="480" w:firstLineChars="200"/>
              <w:rPr>
                <w:color w:val="FF0000"/>
              </w:rPr>
            </w:pPr>
          </w:p>
          <w:p>
            <w:pPr>
              <w:adjustRightInd w:val="0"/>
              <w:snapToGrid w:val="0"/>
              <w:spacing w:after="120" w:afterLines="50" w:line="520" w:lineRule="exact"/>
              <w:ind w:firstLine="480" w:firstLineChars="200"/>
              <w:rPr>
                <w:b/>
                <w:color w:val="FF0000"/>
                <w:lang w:val="en-GB"/>
              </w:rPr>
            </w:pPr>
            <w:r>
              <w:rPr>
                <w:rFonts w:hint="eastAsia"/>
                <w:color w:val="FF0000"/>
              </w:rPr>
              <w:t>综上所述，TSP 现状检测数据满足《环境空气质量标准》（GB3095-2012）二级标准要求；非甲烷总烃现状浓度满足《大气污染物综合排放标准详解》中的浓度限值2.0mg/m</w:t>
            </w:r>
            <w:r>
              <w:rPr>
                <w:rFonts w:hint="eastAsia"/>
                <w:color w:val="FF0000"/>
                <w:vertAlign w:val="superscript"/>
              </w:rPr>
              <w:t>3</w:t>
            </w:r>
            <w:r>
              <w:rPr>
                <w:rFonts w:hint="eastAsia"/>
                <w:color w:val="FF0000"/>
              </w:rPr>
              <w:t>；甲醛浓度超过《环境影响评价技术导则 大气环境》（HJ2.2-2018）附录D中的浓度参考限值。项目所在区域为甲醛非达标区。</w:t>
            </w:r>
          </w:p>
          <w:p>
            <w:pPr>
              <w:spacing w:line="360" w:lineRule="auto"/>
              <w:ind w:firstLine="437"/>
              <w:rPr>
                <w:b/>
                <w:lang w:val="en-GB" w:eastAsia="zh-TW"/>
              </w:rPr>
            </w:pPr>
            <w:r>
              <w:rPr>
                <w:b/>
                <w:lang w:val="en-GB"/>
              </w:rPr>
              <w:t>2、地表水环境</w:t>
            </w:r>
          </w:p>
          <w:p>
            <w:pPr>
              <w:widowControl/>
              <w:adjustRightInd w:val="0"/>
              <w:snapToGrid w:val="0"/>
              <w:spacing w:line="360" w:lineRule="auto"/>
              <w:ind w:firstLine="480" w:firstLineChars="200"/>
              <w:rPr>
                <w:color w:val="FF0000"/>
              </w:rPr>
            </w:pPr>
            <w:r>
              <w:rPr>
                <w:rFonts w:hint="eastAsia"/>
                <w:color w:val="FF0000"/>
              </w:rPr>
              <w:t>根据《建设项目环境影响报告表编制技术指南（污染影响类）》(试行)的要求，“地表水环境质量现状引用与建设项目距离近的有效数据，包括近3年的规划环境影响评价的监测数据，所在流域控制单元内国家、地方控制断面监测数据，生态环境主管部门发布的水环境质量数据或地表水达标情况的结论”。</w:t>
            </w:r>
          </w:p>
          <w:p>
            <w:pPr>
              <w:widowControl/>
              <w:adjustRightInd w:val="0"/>
              <w:snapToGrid w:val="0"/>
              <w:spacing w:line="360" w:lineRule="auto"/>
              <w:ind w:firstLine="480" w:firstLineChars="200"/>
              <w:rPr>
                <w:color w:val="FF0000"/>
              </w:rPr>
            </w:pPr>
            <w:r>
              <w:rPr>
                <w:rFonts w:hint="eastAsia"/>
                <w:color w:val="FF0000"/>
              </w:rPr>
              <w:t>本次地表水现状评价引用昌吉回族自治州人民政府官网（</w:t>
            </w:r>
            <w:r>
              <w:rPr>
                <w:color w:val="FF0000"/>
              </w:rPr>
              <w:t>http://www.cj.gov.cn/gk/rdjy/904225.htm</w:t>
            </w:r>
            <w:r>
              <w:rPr>
                <w:rFonts w:hint="eastAsia"/>
                <w:color w:val="FF0000"/>
              </w:rPr>
              <w:t>）发布的《昌吉回族自治州2020年环境质量状况公报》中的水环境质量结论：“（1）主要河流水质状况。全州监测的8条主要河流水质总体属于优级，监测的15个断面水质：水质达标率100%；Ⅰ类水质占11.8%、Ⅱ类占88.2%。（2）工业园区水源地状况。全州3个工业园区（昌吉高新技术产业开发区、阜康市自治区工业园区、玛纳斯县塔西河工业园）3个监测点水质符合Ⅲ类。</w:t>
            </w:r>
          </w:p>
          <w:p>
            <w:pPr>
              <w:widowControl/>
              <w:adjustRightInd w:val="0"/>
              <w:snapToGrid w:val="0"/>
              <w:spacing w:line="360" w:lineRule="auto"/>
              <w:ind w:firstLine="480" w:firstLineChars="200"/>
              <w:rPr>
                <w:color w:val="FF0000"/>
                <w:sz w:val="28"/>
                <w:szCs w:val="28"/>
                <w:lang w:bidi="ar"/>
              </w:rPr>
            </w:pPr>
            <w:r>
              <w:rPr>
                <w:rFonts w:hint="eastAsia"/>
                <w:color w:val="FF0000"/>
              </w:rPr>
              <w:t>本项目位于昌吉高新技术产业开发区，地表水环境质量达《地表水环境质量标准》（</w:t>
            </w:r>
            <w:r>
              <w:rPr>
                <w:color w:val="FF0000"/>
              </w:rPr>
              <w:t>GB3838-2002</w:t>
            </w:r>
            <w:r>
              <w:rPr>
                <w:rFonts w:hint="eastAsia"/>
                <w:color w:val="FF0000"/>
              </w:rPr>
              <w:t>）中Ⅲ类标准。</w:t>
            </w:r>
          </w:p>
          <w:p>
            <w:pPr>
              <w:spacing w:line="360" w:lineRule="auto"/>
              <w:ind w:firstLine="437"/>
              <w:rPr>
                <w:b/>
                <w:lang w:val="en-GB"/>
              </w:rPr>
            </w:pPr>
            <w:r>
              <w:rPr>
                <w:b/>
                <w:lang w:val="en-GB"/>
              </w:rPr>
              <w:t>3、地下水</w:t>
            </w:r>
            <w:r>
              <w:rPr>
                <w:rFonts w:hint="eastAsia"/>
                <w:b/>
                <w:lang w:val="en-GB"/>
              </w:rPr>
              <w:t>、</w:t>
            </w:r>
            <w:r>
              <w:rPr>
                <w:b/>
                <w:lang w:val="en-GB"/>
              </w:rPr>
              <w:t>土壤环境</w:t>
            </w:r>
          </w:p>
          <w:p>
            <w:pPr>
              <w:pStyle w:val="145"/>
              <w:wordWrap w:val="0"/>
              <w:spacing w:line="360" w:lineRule="auto"/>
              <w:ind w:firstLine="480" w:firstLineChars="200"/>
              <w:jc w:val="both"/>
              <w:rPr>
                <w:rFonts w:ascii="Times New Roman" w:cs="Times New Roman"/>
                <w:bCs/>
                <w:color w:val="auto"/>
              </w:rPr>
            </w:pPr>
            <w:r>
              <w:rPr>
                <w:rFonts w:ascii="Times New Roman" w:cs="Times New Roman"/>
                <w:bCs/>
                <w:color w:val="auto"/>
              </w:rPr>
              <w:t>依据《建设项目环境影响报告表编制技术指南（污染影响类）（试行）》：原则上不开展环境质量现状调查。建设项目存在土壤、地下水环境污染途径的，应结合污染源、保护目标分布情况开展现状调查以留作背景值。本项目运营期</w:t>
            </w:r>
            <w:r>
              <w:rPr>
                <w:rFonts w:hint="eastAsia" w:ascii="Times New Roman" w:cs="Times New Roman"/>
                <w:bCs/>
                <w:color w:val="auto"/>
              </w:rPr>
              <w:t>不涉及</w:t>
            </w:r>
            <w:r>
              <w:rPr>
                <w:rFonts w:ascii="Times New Roman" w:cs="Times New Roman"/>
                <w:bCs/>
                <w:color w:val="auto"/>
              </w:rPr>
              <w:t>地下水和土壤污染源，故不再开展地下水、土壤环境质量现状评价。</w:t>
            </w:r>
          </w:p>
          <w:p>
            <w:pPr>
              <w:wordWrap w:val="0"/>
              <w:spacing w:line="360" w:lineRule="auto"/>
              <w:ind w:firstLine="482" w:firstLineChars="200"/>
              <w:jc w:val="left"/>
              <w:rPr>
                <w:b/>
                <w:bCs/>
              </w:rPr>
            </w:pPr>
            <w:r>
              <w:rPr>
                <w:b/>
                <w:bCs/>
              </w:rPr>
              <w:t>4</w:t>
            </w:r>
            <w:r>
              <w:rPr>
                <w:rFonts w:hint="eastAsia"/>
                <w:b/>
                <w:bCs/>
              </w:rPr>
              <w:t>、</w:t>
            </w:r>
            <w:r>
              <w:rPr>
                <w:b/>
                <w:bCs/>
              </w:rPr>
              <w:t>声环境</w:t>
            </w:r>
          </w:p>
          <w:p>
            <w:pPr>
              <w:wordWrap w:val="0"/>
              <w:spacing w:line="360" w:lineRule="auto"/>
              <w:ind w:firstLine="480" w:firstLineChars="200"/>
              <w:rPr>
                <w:color w:val="FF0000"/>
              </w:rPr>
            </w:pPr>
            <w:r>
              <w:rPr>
                <w:color w:val="FF0000"/>
              </w:rPr>
              <w:t>依据《建设项目环境影响报告表编制技术指南（污染影响类）（试行）》：厂界外周边50m范围内存在声环境保护目标的建设项目，应监测保护目标声环境质量现状并评价达标情况。本项目四周均为空地且周边50m范围内无环境敏感目标。</w:t>
            </w:r>
          </w:p>
          <w:p>
            <w:pPr>
              <w:wordWrap w:val="0"/>
              <w:spacing w:line="360" w:lineRule="auto"/>
              <w:ind w:firstLine="480" w:firstLineChars="200"/>
              <w:rPr>
                <w:color w:val="FF0000"/>
              </w:rPr>
            </w:pPr>
            <w:r>
              <w:rPr>
                <w:rFonts w:hint="eastAsia"/>
                <w:color w:val="FF0000"/>
              </w:rPr>
              <w:t>声环境现状委托新疆锡水金山环境科技有限公司于2</w:t>
            </w:r>
            <w:r>
              <w:rPr>
                <w:color w:val="FF0000"/>
              </w:rPr>
              <w:t>022</w:t>
            </w:r>
            <w:r>
              <w:rPr>
                <w:rFonts w:hint="eastAsia"/>
                <w:color w:val="FF0000"/>
              </w:rPr>
              <w:t>年5月3</w:t>
            </w:r>
            <w:r>
              <w:rPr>
                <w:color w:val="FF0000"/>
              </w:rPr>
              <w:t>1</w:t>
            </w:r>
            <w:r>
              <w:rPr>
                <w:rFonts w:hint="eastAsia"/>
                <w:color w:val="FF0000"/>
              </w:rPr>
              <w:t>日对项目区四周进行监测，监测结果如下：</w:t>
            </w:r>
          </w:p>
          <w:p>
            <w:pPr>
              <w:pStyle w:val="100"/>
              <w:rPr>
                <w:color w:val="FF0000"/>
              </w:rPr>
            </w:pPr>
            <w:r>
              <w:rPr>
                <w:rFonts w:hint="eastAsia"/>
                <w:color w:val="FF0000"/>
              </w:rPr>
              <w:t xml:space="preserve">表3-4 </w:t>
            </w:r>
            <w:r>
              <w:rPr>
                <w:color w:val="FF0000"/>
              </w:rPr>
              <w:t xml:space="preserve">  </w:t>
            </w:r>
            <w:r>
              <w:rPr>
                <w:rFonts w:hint="eastAsia"/>
                <w:color w:val="FF0000"/>
              </w:rPr>
              <w:t>噪声现状监测结果</w:t>
            </w:r>
          </w:p>
          <w:tbl>
            <w:tblPr>
              <w:tblStyle w:val="50"/>
              <w:tblW w:w="7911" w:type="dxa"/>
              <w:tblInd w:w="0"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962"/>
              <w:gridCol w:w="1663"/>
              <w:gridCol w:w="1416"/>
              <w:gridCol w:w="1295"/>
              <w:gridCol w:w="1300"/>
              <w:gridCol w:w="127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75" w:hRule="atLeast"/>
              </w:trPr>
              <w:tc>
                <w:tcPr>
                  <w:tcW w:w="962" w:type="dxa"/>
                  <w:vMerge w:val="restart"/>
                  <w:vAlign w:val="center"/>
                </w:tcPr>
                <w:p>
                  <w:pPr>
                    <w:widowControl/>
                    <w:jc w:val="center"/>
                    <w:textAlignment w:val="center"/>
                    <w:rPr>
                      <w:b/>
                      <w:bCs/>
                      <w:color w:val="FF0000"/>
                      <w:kern w:val="0"/>
                      <w:sz w:val="21"/>
                      <w:szCs w:val="21"/>
                      <w:lang w:bidi="ar"/>
                    </w:rPr>
                  </w:pPr>
                  <w:r>
                    <w:rPr>
                      <w:b/>
                      <w:bCs/>
                      <w:color w:val="FF0000"/>
                      <w:kern w:val="0"/>
                      <w:sz w:val="21"/>
                      <w:szCs w:val="21"/>
                      <w:lang w:bidi="ar"/>
                    </w:rPr>
                    <w:t>测点</w:t>
                  </w:r>
                </w:p>
                <w:p>
                  <w:pPr>
                    <w:widowControl/>
                    <w:jc w:val="center"/>
                    <w:textAlignment w:val="center"/>
                    <w:rPr>
                      <w:b/>
                      <w:bCs/>
                      <w:color w:val="FF0000"/>
                      <w:sz w:val="21"/>
                      <w:szCs w:val="21"/>
                    </w:rPr>
                  </w:pPr>
                  <w:r>
                    <w:rPr>
                      <w:b/>
                      <w:bCs/>
                      <w:color w:val="FF0000"/>
                      <w:kern w:val="0"/>
                      <w:sz w:val="21"/>
                      <w:szCs w:val="21"/>
                      <w:lang w:bidi="ar"/>
                    </w:rPr>
                    <w:t>编号</w:t>
                  </w:r>
                </w:p>
              </w:tc>
              <w:tc>
                <w:tcPr>
                  <w:tcW w:w="1663" w:type="dxa"/>
                  <w:vMerge w:val="restart"/>
                  <w:vAlign w:val="center"/>
                </w:tcPr>
                <w:p>
                  <w:pPr>
                    <w:widowControl/>
                    <w:jc w:val="center"/>
                    <w:textAlignment w:val="center"/>
                    <w:rPr>
                      <w:b/>
                      <w:bCs/>
                      <w:color w:val="FF0000"/>
                      <w:kern w:val="0"/>
                      <w:sz w:val="21"/>
                      <w:szCs w:val="21"/>
                      <w:lang w:bidi="ar"/>
                    </w:rPr>
                  </w:pPr>
                  <w:r>
                    <w:rPr>
                      <w:b/>
                      <w:bCs/>
                      <w:color w:val="FF0000"/>
                      <w:kern w:val="0"/>
                      <w:sz w:val="21"/>
                      <w:szCs w:val="21"/>
                      <w:lang w:bidi="ar"/>
                    </w:rPr>
                    <w:t>测点</w:t>
                  </w:r>
                </w:p>
                <w:p>
                  <w:pPr>
                    <w:widowControl/>
                    <w:jc w:val="center"/>
                    <w:textAlignment w:val="center"/>
                    <w:rPr>
                      <w:b/>
                      <w:bCs/>
                      <w:color w:val="FF0000"/>
                      <w:sz w:val="21"/>
                      <w:szCs w:val="21"/>
                    </w:rPr>
                  </w:pPr>
                  <w:r>
                    <w:rPr>
                      <w:b/>
                      <w:bCs/>
                      <w:color w:val="FF0000"/>
                      <w:kern w:val="0"/>
                      <w:sz w:val="21"/>
                      <w:szCs w:val="21"/>
                      <w:lang w:bidi="ar"/>
                    </w:rPr>
                    <w:t>位置</w:t>
                  </w:r>
                </w:p>
              </w:tc>
              <w:tc>
                <w:tcPr>
                  <w:tcW w:w="1416" w:type="dxa"/>
                  <w:vMerge w:val="restart"/>
                  <w:vAlign w:val="center"/>
                </w:tcPr>
                <w:p>
                  <w:pPr>
                    <w:widowControl/>
                    <w:jc w:val="center"/>
                    <w:textAlignment w:val="center"/>
                    <w:rPr>
                      <w:b/>
                      <w:bCs/>
                      <w:color w:val="FF0000"/>
                      <w:sz w:val="21"/>
                      <w:szCs w:val="21"/>
                    </w:rPr>
                  </w:pPr>
                  <w:r>
                    <w:rPr>
                      <w:b/>
                      <w:bCs/>
                      <w:color w:val="FF0000"/>
                      <w:kern w:val="0"/>
                      <w:sz w:val="21"/>
                      <w:szCs w:val="21"/>
                      <w:lang w:bidi="ar"/>
                    </w:rPr>
                    <w:t>测量时间</w:t>
                  </w:r>
                </w:p>
              </w:tc>
              <w:tc>
                <w:tcPr>
                  <w:tcW w:w="1295" w:type="dxa"/>
                  <w:vMerge w:val="restart"/>
                  <w:vAlign w:val="center"/>
                </w:tcPr>
                <w:p>
                  <w:pPr>
                    <w:widowControl/>
                    <w:jc w:val="center"/>
                    <w:textAlignment w:val="center"/>
                    <w:rPr>
                      <w:b/>
                      <w:bCs/>
                      <w:color w:val="FF0000"/>
                      <w:sz w:val="21"/>
                      <w:szCs w:val="21"/>
                    </w:rPr>
                  </w:pPr>
                  <w:r>
                    <w:rPr>
                      <w:b/>
                      <w:bCs/>
                      <w:color w:val="FF0000"/>
                      <w:kern w:val="0"/>
                      <w:sz w:val="21"/>
                      <w:szCs w:val="21"/>
                      <w:lang w:bidi="ar"/>
                    </w:rPr>
                    <w:t>主要噪声源</w:t>
                  </w:r>
                </w:p>
              </w:tc>
              <w:tc>
                <w:tcPr>
                  <w:tcW w:w="2575" w:type="dxa"/>
                  <w:gridSpan w:val="2"/>
                  <w:vAlign w:val="center"/>
                </w:tcPr>
                <w:p>
                  <w:pPr>
                    <w:widowControl/>
                    <w:jc w:val="center"/>
                    <w:textAlignment w:val="center"/>
                    <w:rPr>
                      <w:b/>
                      <w:bCs/>
                      <w:color w:val="FF0000"/>
                      <w:sz w:val="21"/>
                      <w:szCs w:val="21"/>
                    </w:rPr>
                  </w:pPr>
                  <w:r>
                    <w:rPr>
                      <w:b/>
                      <w:bCs/>
                      <w:color w:val="FF0000"/>
                      <w:kern w:val="0"/>
                      <w:sz w:val="21"/>
                      <w:szCs w:val="21"/>
                      <w:lang w:bidi="ar"/>
                    </w:rPr>
                    <w:t>等 效 声 级</w:t>
                  </w:r>
                  <w:r>
                    <w:rPr>
                      <w:rFonts w:hint="eastAsia"/>
                      <w:b/>
                      <w:bCs/>
                      <w:color w:val="FF0000"/>
                      <w:kern w:val="0"/>
                      <w:sz w:val="21"/>
                      <w:szCs w:val="21"/>
                      <w:lang w:bidi="ar"/>
                    </w:rPr>
                    <w:t xml:space="preserve">  </w:t>
                  </w:r>
                  <w:r>
                    <w:rPr>
                      <w:b/>
                      <w:bCs/>
                      <w:color w:val="FF0000"/>
                      <w:kern w:val="0"/>
                      <w:sz w:val="21"/>
                      <w:szCs w:val="21"/>
                      <w:lang w:bidi="ar"/>
                    </w:rPr>
                    <w:t>dB（A）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75" w:hRule="atLeast"/>
              </w:trPr>
              <w:tc>
                <w:tcPr>
                  <w:tcW w:w="962" w:type="dxa"/>
                  <w:vMerge w:val="continue"/>
                  <w:vAlign w:val="center"/>
                </w:tcPr>
                <w:p>
                  <w:pPr>
                    <w:jc w:val="center"/>
                    <w:rPr>
                      <w:b/>
                      <w:bCs/>
                      <w:color w:val="FF0000"/>
                      <w:sz w:val="21"/>
                      <w:szCs w:val="21"/>
                    </w:rPr>
                  </w:pPr>
                </w:p>
              </w:tc>
              <w:tc>
                <w:tcPr>
                  <w:tcW w:w="1663" w:type="dxa"/>
                  <w:vMerge w:val="continue"/>
                  <w:vAlign w:val="center"/>
                </w:tcPr>
                <w:p>
                  <w:pPr>
                    <w:jc w:val="center"/>
                    <w:rPr>
                      <w:b/>
                      <w:bCs/>
                      <w:color w:val="FF0000"/>
                      <w:sz w:val="21"/>
                      <w:szCs w:val="21"/>
                    </w:rPr>
                  </w:pPr>
                </w:p>
              </w:tc>
              <w:tc>
                <w:tcPr>
                  <w:tcW w:w="1416" w:type="dxa"/>
                  <w:vMerge w:val="continue"/>
                  <w:vAlign w:val="center"/>
                </w:tcPr>
                <w:p>
                  <w:pPr>
                    <w:jc w:val="center"/>
                    <w:rPr>
                      <w:b/>
                      <w:bCs/>
                      <w:color w:val="FF0000"/>
                      <w:sz w:val="21"/>
                      <w:szCs w:val="21"/>
                    </w:rPr>
                  </w:pPr>
                </w:p>
              </w:tc>
              <w:tc>
                <w:tcPr>
                  <w:tcW w:w="1295" w:type="dxa"/>
                  <w:vMerge w:val="continue"/>
                  <w:vAlign w:val="center"/>
                </w:tcPr>
                <w:p>
                  <w:pPr>
                    <w:jc w:val="center"/>
                    <w:rPr>
                      <w:b/>
                      <w:bCs/>
                      <w:color w:val="FF0000"/>
                      <w:sz w:val="21"/>
                      <w:szCs w:val="21"/>
                    </w:rPr>
                  </w:pPr>
                </w:p>
              </w:tc>
              <w:tc>
                <w:tcPr>
                  <w:tcW w:w="1300" w:type="dxa"/>
                  <w:vAlign w:val="center"/>
                </w:tcPr>
                <w:p>
                  <w:pPr>
                    <w:widowControl/>
                    <w:jc w:val="center"/>
                    <w:textAlignment w:val="center"/>
                    <w:rPr>
                      <w:b/>
                      <w:bCs/>
                      <w:color w:val="FF0000"/>
                      <w:sz w:val="21"/>
                      <w:szCs w:val="21"/>
                    </w:rPr>
                  </w:pPr>
                  <w:r>
                    <w:rPr>
                      <w:b/>
                      <w:bCs/>
                      <w:color w:val="FF0000"/>
                      <w:kern w:val="0"/>
                      <w:sz w:val="21"/>
                      <w:szCs w:val="21"/>
                      <w:lang w:bidi="ar"/>
                    </w:rPr>
                    <w:t>昼间</w:t>
                  </w:r>
                </w:p>
              </w:tc>
              <w:tc>
                <w:tcPr>
                  <w:tcW w:w="1274" w:type="dxa"/>
                  <w:vAlign w:val="center"/>
                </w:tcPr>
                <w:p>
                  <w:pPr>
                    <w:widowControl/>
                    <w:jc w:val="center"/>
                    <w:textAlignment w:val="center"/>
                    <w:rPr>
                      <w:b/>
                      <w:bCs/>
                      <w:color w:val="FF0000"/>
                      <w:sz w:val="21"/>
                      <w:szCs w:val="21"/>
                    </w:rPr>
                  </w:pPr>
                  <w:r>
                    <w:rPr>
                      <w:b/>
                      <w:bCs/>
                      <w:color w:val="FF0000"/>
                      <w:kern w:val="0"/>
                      <w:sz w:val="21"/>
                      <w:szCs w:val="21"/>
                      <w:lang w:bidi="ar"/>
                    </w:rPr>
                    <w:t>夜间</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75" w:hRule="atLeast"/>
              </w:trPr>
              <w:tc>
                <w:tcPr>
                  <w:tcW w:w="962" w:type="dxa"/>
                  <w:vAlign w:val="center"/>
                </w:tcPr>
                <w:p>
                  <w:pPr>
                    <w:jc w:val="center"/>
                    <w:rPr>
                      <w:color w:val="FF0000"/>
                      <w:sz w:val="21"/>
                      <w:szCs w:val="21"/>
                    </w:rPr>
                  </w:pPr>
                  <w:r>
                    <w:rPr>
                      <w:color w:val="FF0000"/>
                      <w:sz w:val="21"/>
                      <w:szCs w:val="21"/>
                    </w:rPr>
                    <w:t>1</w:t>
                  </w:r>
                  <w:r>
                    <w:rPr>
                      <w:color w:val="FF0000"/>
                      <w:sz w:val="21"/>
                      <w:szCs w:val="21"/>
                      <w:vertAlign w:val="superscript"/>
                    </w:rPr>
                    <w:t>#</w:t>
                  </w:r>
                </w:p>
              </w:tc>
              <w:tc>
                <w:tcPr>
                  <w:tcW w:w="1663" w:type="dxa"/>
                  <w:vAlign w:val="center"/>
                </w:tcPr>
                <w:p>
                  <w:pPr>
                    <w:jc w:val="center"/>
                    <w:rPr>
                      <w:color w:val="FF0000"/>
                      <w:sz w:val="21"/>
                      <w:szCs w:val="21"/>
                    </w:rPr>
                  </w:pPr>
                  <w:r>
                    <w:rPr>
                      <w:rFonts w:hint="eastAsia"/>
                      <w:color w:val="FF0000"/>
                      <w:sz w:val="21"/>
                      <w:szCs w:val="21"/>
                    </w:rPr>
                    <w:t>厂界</w:t>
                  </w:r>
                  <w:r>
                    <w:rPr>
                      <w:rFonts w:hint="eastAsia"/>
                      <w:bCs/>
                      <w:color w:val="FF0000"/>
                      <w:sz w:val="21"/>
                      <w:szCs w:val="21"/>
                    </w:rPr>
                    <w:t>东南侧外1m处</w:t>
                  </w:r>
                </w:p>
              </w:tc>
              <w:tc>
                <w:tcPr>
                  <w:tcW w:w="1416" w:type="dxa"/>
                  <w:vMerge w:val="restart"/>
                  <w:vAlign w:val="center"/>
                </w:tcPr>
                <w:p>
                  <w:pPr>
                    <w:widowControl/>
                    <w:jc w:val="center"/>
                    <w:textAlignment w:val="center"/>
                    <w:rPr>
                      <w:color w:val="FF0000"/>
                      <w:kern w:val="0"/>
                      <w:sz w:val="21"/>
                      <w:szCs w:val="21"/>
                      <w:lang w:bidi="ar"/>
                    </w:rPr>
                  </w:pPr>
                  <w:r>
                    <w:rPr>
                      <w:rFonts w:hint="eastAsia"/>
                      <w:color w:val="FF0000"/>
                      <w:sz w:val="21"/>
                      <w:szCs w:val="21"/>
                    </w:rPr>
                    <w:t>2022年5月31日</w:t>
                  </w:r>
                </w:p>
              </w:tc>
              <w:tc>
                <w:tcPr>
                  <w:tcW w:w="1295" w:type="dxa"/>
                  <w:vAlign w:val="center"/>
                </w:tcPr>
                <w:p>
                  <w:pPr>
                    <w:widowControl/>
                    <w:jc w:val="center"/>
                    <w:textAlignment w:val="center"/>
                    <w:rPr>
                      <w:color w:val="FF0000"/>
                      <w:sz w:val="21"/>
                      <w:szCs w:val="21"/>
                    </w:rPr>
                  </w:pPr>
                  <w:r>
                    <w:rPr>
                      <w:rFonts w:hint="eastAsia"/>
                      <w:color w:val="FF0000"/>
                      <w:sz w:val="21"/>
                      <w:szCs w:val="21"/>
                    </w:rPr>
                    <w:t>生产/环境</w:t>
                  </w:r>
                </w:p>
              </w:tc>
              <w:tc>
                <w:tcPr>
                  <w:tcW w:w="1300" w:type="dxa"/>
                  <w:vAlign w:val="center"/>
                </w:tcPr>
                <w:p>
                  <w:pPr>
                    <w:widowControl/>
                    <w:jc w:val="center"/>
                    <w:textAlignment w:val="center"/>
                    <w:rPr>
                      <w:color w:val="FF0000"/>
                      <w:sz w:val="21"/>
                      <w:szCs w:val="21"/>
                    </w:rPr>
                  </w:pPr>
                  <w:r>
                    <w:rPr>
                      <w:rFonts w:hint="eastAsia"/>
                      <w:color w:val="FF0000"/>
                      <w:sz w:val="21"/>
                      <w:szCs w:val="21"/>
                    </w:rPr>
                    <w:t>46</w:t>
                  </w:r>
                </w:p>
              </w:tc>
              <w:tc>
                <w:tcPr>
                  <w:tcW w:w="1274" w:type="dxa"/>
                  <w:vAlign w:val="center"/>
                </w:tcPr>
                <w:p>
                  <w:pPr>
                    <w:widowControl/>
                    <w:jc w:val="center"/>
                    <w:textAlignment w:val="center"/>
                    <w:rPr>
                      <w:color w:val="FF0000"/>
                      <w:sz w:val="21"/>
                      <w:szCs w:val="21"/>
                    </w:rPr>
                  </w:pPr>
                  <w:r>
                    <w:rPr>
                      <w:rFonts w:hint="eastAsia"/>
                      <w:color w:val="FF0000"/>
                      <w:sz w:val="21"/>
                      <w:szCs w:val="21"/>
                    </w:rPr>
                    <w:t>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75" w:hRule="atLeast"/>
              </w:trPr>
              <w:tc>
                <w:tcPr>
                  <w:tcW w:w="962" w:type="dxa"/>
                  <w:vAlign w:val="center"/>
                </w:tcPr>
                <w:p>
                  <w:pPr>
                    <w:jc w:val="center"/>
                    <w:rPr>
                      <w:color w:val="FF0000"/>
                      <w:sz w:val="21"/>
                      <w:szCs w:val="21"/>
                    </w:rPr>
                  </w:pPr>
                  <w:r>
                    <w:rPr>
                      <w:color w:val="FF0000"/>
                      <w:sz w:val="21"/>
                      <w:szCs w:val="21"/>
                    </w:rPr>
                    <w:t>2</w:t>
                  </w:r>
                  <w:r>
                    <w:rPr>
                      <w:color w:val="FF0000"/>
                      <w:sz w:val="21"/>
                      <w:szCs w:val="21"/>
                      <w:vertAlign w:val="superscript"/>
                    </w:rPr>
                    <w:t>#</w:t>
                  </w:r>
                </w:p>
              </w:tc>
              <w:tc>
                <w:tcPr>
                  <w:tcW w:w="1663" w:type="dxa"/>
                  <w:vAlign w:val="center"/>
                </w:tcPr>
                <w:p>
                  <w:pPr>
                    <w:jc w:val="center"/>
                    <w:rPr>
                      <w:color w:val="FF0000"/>
                      <w:kern w:val="0"/>
                      <w:sz w:val="21"/>
                      <w:szCs w:val="21"/>
                      <w:lang w:bidi="ar"/>
                    </w:rPr>
                  </w:pPr>
                  <w:r>
                    <w:rPr>
                      <w:rFonts w:hint="eastAsia"/>
                      <w:color w:val="FF0000"/>
                      <w:sz w:val="21"/>
                      <w:szCs w:val="21"/>
                    </w:rPr>
                    <w:t>厂界</w:t>
                  </w:r>
                  <w:r>
                    <w:rPr>
                      <w:rFonts w:hint="eastAsia"/>
                      <w:bCs/>
                      <w:color w:val="FF0000"/>
                      <w:sz w:val="21"/>
                      <w:szCs w:val="21"/>
                    </w:rPr>
                    <w:t>西南侧外1m处</w:t>
                  </w:r>
                </w:p>
              </w:tc>
              <w:tc>
                <w:tcPr>
                  <w:tcW w:w="1416" w:type="dxa"/>
                  <w:vMerge w:val="continue"/>
                  <w:vAlign w:val="center"/>
                </w:tcPr>
                <w:p>
                  <w:pPr>
                    <w:widowControl/>
                    <w:jc w:val="center"/>
                    <w:textAlignment w:val="center"/>
                    <w:rPr>
                      <w:color w:val="FF0000"/>
                      <w:kern w:val="0"/>
                      <w:sz w:val="21"/>
                      <w:szCs w:val="21"/>
                      <w:lang w:bidi="ar"/>
                    </w:rPr>
                  </w:pPr>
                </w:p>
              </w:tc>
              <w:tc>
                <w:tcPr>
                  <w:tcW w:w="1295" w:type="dxa"/>
                  <w:vAlign w:val="center"/>
                </w:tcPr>
                <w:p>
                  <w:pPr>
                    <w:widowControl/>
                    <w:jc w:val="center"/>
                    <w:textAlignment w:val="center"/>
                    <w:rPr>
                      <w:color w:val="FF0000"/>
                      <w:kern w:val="0"/>
                      <w:sz w:val="21"/>
                      <w:szCs w:val="21"/>
                      <w:lang w:bidi="ar"/>
                    </w:rPr>
                  </w:pPr>
                  <w:r>
                    <w:rPr>
                      <w:rFonts w:hint="eastAsia"/>
                      <w:color w:val="FF0000"/>
                      <w:sz w:val="21"/>
                      <w:szCs w:val="21"/>
                    </w:rPr>
                    <w:t>生产/环境</w:t>
                  </w:r>
                </w:p>
              </w:tc>
              <w:tc>
                <w:tcPr>
                  <w:tcW w:w="1300" w:type="dxa"/>
                  <w:vAlign w:val="center"/>
                </w:tcPr>
                <w:p>
                  <w:pPr>
                    <w:widowControl/>
                    <w:jc w:val="center"/>
                    <w:textAlignment w:val="center"/>
                    <w:rPr>
                      <w:color w:val="FF0000"/>
                      <w:sz w:val="21"/>
                      <w:szCs w:val="21"/>
                    </w:rPr>
                  </w:pPr>
                  <w:r>
                    <w:rPr>
                      <w:rFonts w:hint="eastAsia"/>
                      <w:color w:val="FF0000"/>
                      <w:sz w:val="21"/>
                      <w:szCs w:val="21"/>
                    </w:rPr>
                    <w:t>50</w:t>
                  </w:r>
                </w:p>
              </w:tc>
              <w:tc>
                <w:tcPr>
                  <w:tcW w:w="1274" w:type="dxa"/>
                  <w:vAlign w:val="center"/>
                </w:tcPr>
                <w:p>
                  <w:pPr>
                    <w:widowControl/>
                    <w:jc w:val="center"/>
                    <w:textAlignment w:val="center"/>
                    <w:rPr>
                      <w:color w:val="FF0000"/>
                      <w:sz w:val="21"/>
                      <w:szCs w:val="21"/>
                    </w:rPr>
                  </w:pPr>
                  <w:r>
                    <w:rPr>
                      <w:rFonts w:hint="eastAsia"/>
                      <w:color w:val="FF0000"/>
                      <w:sz w:val="21"/>
                      <w:szCs w:val="21"/>
                    </w:rPr>
                    <w:t>39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75" w:hRule="atLeast"/>
              </w:trPr>
              <w:tc>
                <w:tcPr>
                  <w:tcW w:w="962" w:type="dxa"/>
                  <w:vAlign w:val="center"/>
                </w:tcPr>
                <w:p>
                  <w:pPr>
                    <w:jc w:val="center"/>
                    <w:rPr>
                      <w:color w:val="FF0000"/>
                      <w:sz w:val="21"/>
                      <w:szCs w:val="21"/>
                    </w:rPr>
                  </w:pPr>
                  <w:r>
                    <w:rPr>
                      <w:color w:val="FF0000"/>
                      <w:sz w:val="21"/>
                      <w:szCs w:val="21"/>
                    </w:rPr>
                    <w:t>3</w:t>
                  </w:r>
                  <w:r>
                    <w:rPr>
                      <w:color w:val="FF0000"/>
                      <w:sz w:val="21"/>
                      <w:szCs w:val="21"/>
                      <w:vertAlign w:val="superscript"/>
                    </w:rPr>
                    <w:t>#</w:t>
                  </w:r>
                </w:p>
              </w:tc>
              <w:tc>
                <w:tcPr>
                  <w:tcW w:w="1663" w:type="dxa"/>
                  <w:vAlign w:val="center"/>
                </w:tcPr>
                <w:p>
                  <w:pPr>
                    <w:jc w:val="center"/>
                    <w:rPr>
                      <w:color w:val="FF0000"/>
                      <w:kern w:val="0"/>
                      <w:sz w:val="21"/>
                      <w:szCs w:val="21"/>
                      <w:lang w:bidi="ar"/>
                    </w:rPr>
                  </w:pPr>
                  <w:r>
                    <w:rPr>
                      <w:rFonts w:hint="eastAsia"/>
                      <w:color w:val="FF0000"/>
                      <w:sz w:val="21"/>
                      <w:szCs w:val="21"/>
                    </w:rPr>
                    <w:t>厂界</w:t>
                  </w:r>
                  <w:r>
                    <w:rPr>
                      <w:rFonts w:hint="eastAsia"/>
                      <w:bCs/>
                      <w:color w:val="FF0000"/>
                      <w:sz w:val="21"/>
                      <w:szCs w:val="21"/>
                    </w:rPr>
                    <w:t>西北侧外1m处</w:t>
                  </w:r>
                </w:p>
              </w:tc>
              <w:tc>
                <w:tcPr>
                  <w:tcW w:w="1416" w:type="dxa"/>
                  <w:vMerge w:val="continue"/>
                  <w:vAlign w:val="center"/>
                </w:tcPr>
                <w:p>
                  <w:pPr>
                    <w:widowControl/>
                    <w:jc w:val="center"/>
                    <w:textAlignment w:val="center"/>
                    <w:rPr>
                      <w:color w:val="FF0000"/>
                      <w:kern w:val="0"/>
                      <w:sz w:val="21"/>
                      <w:szCs w:val="21"/>
                      <w:lang w:bidi="ar"/>
                    </w:rPr>
                  </w:pPr>
                </w:p>
              </w:tc>
              <w:tc>
                <w:tcPr>
                  <w:tcW w:w="1295" w:type="dxa"/>
                  <w:vAlign w:val="center"/>
                </w:tcPr>
                <w:p>
                  <w:pPr>
                    <w:widowControl/>
                    <w:jc w:val="center"/>
                    <w:textAlignment w:val="center"/>
                    <w:rPr>
                      <w:color w:val="FF0000"/>
                      <w:kern w:val="0"/>
                      <w:sz w:val="21"/>
                      <w:szCs w:val="21"/>
                      <w:lang w:bidi="ar"/>
                    </w:rPr>
                  </w:pPr>
                  <w:r>
                    <w:rPr>
                      <w:rFonts w:hint="eastAsia"/>
                      <w:color w:val="FF0000"/>
                      <w:sz w:val="21"/>
                      <w:szCs w:val="21"/>
                    </w:rPr>
                    <w:t>生产/环境</w:t>
                  </w:r>
                </w:p>
              </w:tc>
              <w:tc>
                <w:tcPr>
                  <w:tcW w:w="1300" w:type="dxa"/>
                  <w:vAlign w:val="center"/>
                </w:tcPr>
                <w:p>
                  <w:pPr>
                    <w:widowControl/>
                    <w:jc w:val="center"/>
                    <w:textAlignment w:val="center"/>
                    <w:rPr>
                      <w:color w:val="FF0000"/>
                      <w:sz w:val="21"/>
                      <w:szCs w:val="21"/>
                    </w:rPr>
                  </w:pPr>
                  <w:r>
                    <w:rPr>
                      <w:rFonts w:hint="eastAsia"/>
                      <w:color w:val="FF0000"/>
                      <w:sz w:val="21"/>
                      <w:szCs w:val="21"/>
                    </w:rPr>
                    <w:t>46</w:t>
                  </w:r>
                </w:p>
              </w:tc>
              <w:tc>
                <w:tcPr>
                  <w:tcW w:w="1274" w:type="dxa"/>
                  <w:vAlign w:val="center"/>
                </w:tcPr>
                <w:p>
                  <w:pPr>
                    <w:widowControl/>
                    <w:jc w:val="center"/>
                    <w:textAlignment w:val="center"/>
                    <w:rPr>
                      <w:color w:val="FF0000"/>
                      <w:sz w:val="21"/>
                      <w:szCs w:val="21"/>
                    </w:rPr>
                  </w:pPr>
                  <w:r>
                    <w:rPr>
                      <w:rFonts w:hint="eastAsia"/>
                      <w:color w:val="FF0000"/>
                      <w:sz w:val="21"/>
                      <w:szCs w:val="21"/>
                    </w:rPr>
                    <w:t>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75" w:hRule="atLeast"/>
              </w:trPr>
              <w:tc>
                <w:tcPr>
                  <w:tcW w:w="962" w:type="dxa"/>
                  <w:vAlign w:val="center"/>
                </w:tcPr>
                <w:p>
                  <w:pPr>
                    <w:jc w:val="center"/>
                    <w:rPr>
                      <w:color w:val="FF0000"/>
                      <w:sz w:val="21"/>
                      <w:szCs w:val="21"/>
                    </w:rPr>
                  </w:pPr>
                  <w:r>
                    <w:rPr>
                      <w:color w:val="FF0000"/>
                      <w:sz w:val="21"/>
                      <w:szCs w:val="21"/>
                    </w:rPr>
                    <w:t>4</w:t>
                  </w:r>
                  <w:r>
                    <w:rPr>
                      <w:color w:val="FF0000"/>
                      <w:sz w:val="21"/>
                      <w:szCs w:val="21"/>
                      <w:vertAlign w:val="superscript"/>
                    </w:rPr>
                    <w:t>#</w:t>
                  </w:r>
                </w:p>
              </w:tc>
              <w:tc>
                <w:tcPr>
                  <w:tcW w:w="1663" w:type="dxa"/>
                  <w:vAlign w:val="center"/>
                </w:tcPr>
                <w:p>
                  <w:pPr>
                    <w:widowControl/>
                    <w:jc w:val="center"/>
                    <w:textAlignment w:val="center"/>
                    <w:rPr>
                      <w:color w:val="FF0000"/>
                      <w:kern w:val="0"/>
                      <w:sz w:val="21"/>
                      <w:szCs w:val="21"/>
                      <w:lang w:bidi="ar"/>
                    </w:rPr>
                  </w:pPr>
                  <w:r>
                    <w:rPr>
                      <w:rFonts w:hint="eastAsia"/>
                      <w:color w:val="FF0000"/>
                      <w:sz w:val="21"/>
                      <w:szCs w:val="21"/>
                    </w:rPr>
                    <w:t>厂界</w:t>
                  </w:r>
                  <w:r>
                    <w:rPr>
                      <w:rFonts w:hint="eastAsia"/>
                      <w:bCs/>
                      <w:color w:val="FF0000"/>
                      <w:sz w:val="21"/>
                      <w:szCs w:val="21"/>
                    </w:rPr>
                    <w:t>东北侧外1m处</w:t>
                  </w:r>
                </w:p>
              </w:tc>
              <w:tc>
                <w:tcPr>
                  <w:tcW w:w="1416" w:type="dxa"/>
                  <w:vMerge w:val="continue"/>
                  <w:vAlign w:val="center"/>
                </w:tcPr>
                <w:p>
                  <w:pPr>
                    <w:widowControl/>
                    <w:jc w:val="center"/>
                    <w:textAlignment w:val="center"/>
                    <w:rPr>
                      <w:color w:val="FF0000"/>
                      <w:kern w:val="0"/>
                      <w:sz w:val="21"/>
                      <w:szCs w:val="21"/>
                      <w:lang w:bidi="ar"/>
                    </w:rPr>
                  </w:pPr>
                </w:p>
              </w:tc>
              <w:tc>
                <w:tcPr>
                  <w:tcW w:w="1295" w:type="dxa"/>
                  <w:vAlign w:val="center"/>
                </w:tcPr>
                <w:p>
                  <w:pPr>
                    <w:widowControl/>
                    <w:jc w:val="center"/>
                    <w:textAlignment w:val="center"/>
                    <w:rPr>
                      <w:color w:val="FF0000"/>
                      <w:kern w:val="0"/>
                      <w:sz w:val="21"/>
                      <w:szCs w:val="21"/>
                      <w:lang w:bidi="ar"/>
                    </w:rPr>
                  </w:pPr>
                  <w:r>
                    <w:rPr>
                      <w:rFonts w:hint="eastAsia"/>
                      <w:color w:val="FF0000"/>
                      <w:sz w:val="21"/>
                      <w:szCs w:val="21"/>
                    </w:rPr>
                    <w:t>生产/环境</w:t>
                  </w:r>
                </w:p>
              </w:tc>
              <w:tc>
                <w:tcPr>
                  <w:tcW w:w="1300" w:type="dxa"/>
                  <w:vAlign w:val="center"/>
                </w:tcPr>
                <w:p>
                  <w:pPr>
                    <w:widowControl/>
                    <w:jc w:val="center"/>
                    <w:textAlignment w:val="center"/>
                    <w:rPr>
                      <w:color w:val="FF0000"/>
                      <w:sz w:val="21"/>
                      <w:szCs w:val="21"/>
                    </w:rPr>
                  </w:pPr>
                  <w:r>
                    <w:rPr>
                      <w:rFonts w:hint="eastAsia"/>
                      <w:color w:val="FF0000"/>
                      <w:sz w:val="21"/>
                      <w:szCs w:val="21"/>
                    </w:rPr>
                    <w:t>48</w:t>
                  </w:r>
                </w:p>
              </w:tc>
              <w:tc>
                <w:tcPr>
                  <w:tcW w:w="1274" w:type="dxa"/>
                  <w:vAlign w:val="center"/>
                </w:tcPr>
                <w:p>
                  <w:pPr>
                    <w:widowControl/>
                    <w:jc w:val="center"/>
                    <w:textAlignment w:val="center"/>
                    <w:rPr>
                      <w:color w:val="FF0000"/>
                      <w:sz w:val="21"/>
                      <w:szCs w:val="21"/>
                    </w:rPr>
                  </w:pPr>
                  <w:r>
                    <w:rPr>
                      <w:rFonts w:hint="eastAsia"/>
                      <w:color w:val="FF0000"/>
                      <w:sz w:val="21"/>
                      <w:szCs w:val="21"/>
                    </w:rPr>
                    <w:t>38</w:t>
                  </w:r>
                </w:p>
              </w:tc>
            </w:tr>
          </w:tbl>
          <w:p>
            <w:pPr>
              <w:wordWrap w:val="0"/>
              <w:spacing w:line="360" w:lineRule="auto"/>
              <w:ind w:firstLine="480" w:firstLineChars="200"/>
              <w:rPr>
                <w:color w:val="FF0000"/>
              </w:rPr>
            </w:pPr>
            <w:r>
              <w:rPr>
                <w:rFonts w:hint="eastAsia"/>
                <w:color w:val="FF0000"/>
              </w:rPr>
              <w:t>根据监测结果可知，项目区噪声值满足《工业企业厂界环境噪声排放标准》（GB12348-2008）中3类标准。</w:t>
            </w:r>
          </w:p>
          <w:p>
            <w:pPr>
              <w:wordWrap w:val="0"/>
              <w:spacing w:line="360" w:lineRule="auto"/>
              <w:ind w:firstLine="482" w:firstLineChars="200"/>
              <w:jc w:val="left"/>
              <w:rPr>
                <w:b/>
                <w:bCs/>
              </w:rPr>
            </w:pPr>
            <w:r>
              <w:rPr>
                <w:rFonts w:hint="eastAsia"/>
                <w:b/>
                <w:bCs/>
              </w:rPr>
              <w:t>5、生态环境</w:t>
            </w:r>
          </w:p>
          <w:p>
            <w:pPr>
              <w:spacing w:line="360" w:lineRule="auto"/>
              <w:ind w:firstLine="437"/>
              <w:rPr>
                <w:rFonts w:ascii="宋体" w:hAnsi="宋体" w:cs="宋体"/>
                <w:kern w:val="0"/>
                <w:szCs w:val="21"/>
              </w:rPr>
            </w:pPr>
            <w:r>
              <w:t>根据对项目场地现状调查结果，本项目位于昌吉高新技术产业开发区，</w:t>
            </w:r>
            <w:r>
              <w:rPr>
                <w:rFonts w:hint="eastAsia"/>
                <w:lang w:val="en-GB"/>
              </w:rPr>
              <w:t>拟建项目区域</w:t>
            </w:r>
            <w:r>
              <w:rPr>
                <w:rFonts w:hint="eastAsia"/>
              </w:rPr>
              <w:t>内无生态环境保护目标，因此不需要开展生态环境现状调查与评价。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9"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环境</w:t>
            </w:r>
          </w:p>
          <w:p>
            <w:pPr>
              <w:adjustRightInd w:val="0"/>
              <w:snapToGrid w:val="0"/>
              <w:jc w:val="center"/>
              <w:rPr>
                <w:rFonts w:ascii="宋体" w:hAnsi="宋体" w:cs="宋体"/>
                <w:kern w:val="0"/>
                <w:szCs w:val="21"/>
              </w:rPr>
            </w:pPr>
            <w:r>
              <w:rPr>
                <w:rFonts w:hint="eastAsia" w:ascii="宋体" w:hAnsi="宋体" w:cs="宋体"/>
                <w:kern w:val="0"/>
                <w:szCs w:val="21"/>
              </w:rPr>
              <w:t>保护</w:t>
            </w:r>
          </w:p>
          <w:p>
            <w:pPr>
              <w:adjustRightInd w:val="0"/>
              <w:snapToGrid w:val="0"/>
              <w:jc w:val="center"/>
              <w:rPr>
                <w:rFonts w:ascii="宋体" w:hAnsi="宋体" w:cs="宋体"/>
                <w:kern w:val="0"/>
                <w:szCs w:val="21"/>
              </w:rPr>
            </w:pPr>
            <w:r>
              <w:rPr>
                <w:rFonts w:hint="eastAsia" w:ascii="宋体" w:hAnsi="宋体" w:cs="宋体"/>
                <w:kern w:val="0"/>
                <w:szCs w:val="21"/>
              </w:rPr>
              <w:t>目标</w:t>
            </w:r>
          </w:p>
        </w:tc>
        <w:tc>
          <w:tcPr>
            <w:tcW w:w="8190" w:type="dxa"/>
            <w:vAlign w:val="center"/>
          </w:tcPr>
          <w:p>
            <w:pPr>
              <w:widowControl/>
              <w:spacing w:line="360" w:lineRule="auto"/>
              <w:ind w:firstLine="480"/>
              <w:rPr>
                <w:lang w:val="en-GB"/>
              </w:rPr>
            </w:pPr>
            <w:r>
              <w:rPr>
                <w:rFonts w:hint="eastAsia"/>
                <w:lang w:val="en-GB" w:eastAsia="zh-TW"/>
              </w:rPr>
              <w:t>该项目主要控制目标是：不因项目的建设而使周围水环境、大气环境和声环境的质量有所下降。环境保护目标见表3-</w:t>
            </w:r>
            <w:r>
              <w:rPr>
                <w:rFonts w:hint="eastAsia"/>
                <w:lang w:val="en-GB"/>
              </w:rPr>
              <w:t>5</w:t>
            </w:r>
            <w:r>
              <w:rPr>
                <w:rFonts w:hint="eastAsia"/>
                <w:lang w:val="en-GB" w:eastAsia="zh-TW"/>
              </w:rPr>
              <w:t>。</w:t>
            </w:r>
          </w:p>
          <w:p>
            <w:pPr>
              <w:pStyle w:val="100"/>
            </w:pPr>
            <w:r>
              <w:t>表3-</w:t>
            </w:r>
            <w:r>
              <w:rPr>
                <w:rFonts w:hint="eastAsia"/>
              </w:rPr>
              <w:t>5</w:t>
            </w:r>
            <w:r>
              <w:t xml:space="preserve"> 拟建项目周围主要环境保护目标</w:t>
            </w:r>
          </w:p>
          <w:tbl>
            <w:tblPr>
              <w:tblStyle w:val="186"/>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1737"/>
              <w:gridCol w:w="1075"/>
              <w:gridCol w:w="376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55" w:hRule="atLeast"/>
              </w:trPr>
              <w:tc>
                <w:tcPr>
                  <w:tcW w:w="875" w:type="pct"/>
                </w:tcPr>
                <w:p>
                  <w:pPr>
                    <w:pStyle w:val="215"/>
                    <w:rPr>
                      <w:rFonts w:ascii="Calibri" w:hAnsi="Calibri"/>
                      <w:b/>
                      <w:bCs w:val="0"/>
                      <w:lang w:val="en-GB"/>
                    </w:rPr>
                  </w:pPr>
                  <w:r>
                    <w:rPr>
                      <w:rFonts w:ascii="Calibri" w:hAnsi="Calibri"/>
                      <w:b/>
                      <w:bCs w:val="0"/>
                      <w:lang w:val="en-GB"/>
                    </w:rPr>
                    <w:t>类型</w:t>
                  </w:r>
                </w:p>
              </w:tc>
              <w:tc>
                <w:tcPr>
                  <w:tcW w:w="1089" w:type="pct"/>
                </w:tcPr>
                <w:p>
                  <w:pPr>
                    <w:pStyle w:val="215"/>
                    <w:rPr>
                      <w:rFonts w:ascii="Calibri" w:hAnsi="Calibri"/>
                      <w:b/>
                      <w:bCs w:val="0"/>
                      <w:lang w:val="en-GB" w:eastAsia="zh-TW"/>
                    </w:rPr>
                  </w:pPr>
                  <w:r>
                    <w:rPr>
                      <w:rFonts w:ascii="Calibri" w:hAnsi="Calibri"/>
                      <w:b/>
                      <w:bCs w:val="0"/>
                      <w:lang w:val="en-GB" w:eastAsia="zh-TW"/>
                    </w:rPr>
                    <w:t>环境</w:t>
                  </w:r>
                  <w:r>
                    <w:rPr>
                      <w:rFonts w:ascii="Calibri" w:hAnsi="Calibri"/>
                      <w:b/>
                      <w:bCs w:val="0"/>
                      <w:lang w:val="en-GB"/>
                    </w:rPr>
                    <w:t>保护</w:t>
                  </w:r>
                  <w:r>
                    <w:rPr>
                      <w:rFonts w:ascii="Calibri" w:hAnsi="Calibri"/>
                      <w:b/>
                      <w:bCs w:val="0"/>
                      <w:lang w:val="en-GB" w:eastAsia="zh-TW"/>
                    </w:rPr>
                    <w:t>目标</w:t>
                  </w:r>
                </w:p>
              </w:tc>
              <w:tc>
                <w:tcPr>
                  <w:tcW w:w="674" w:type="pct"/>
                </w:tcPr>
                <w:p>
                  <w:pPr>
                    <w:pStyle w:val="215"/>
                    <w:rPr>
                      <w:rFonts w:ascii="Calibri" w:hAnsi="Calibri"/>
                      <w:b/>
                      <w:bCs w:val="0"/>
                      <w:lang w:val="en-GB"/>
                    </w:rPr>
                  </w:pPr>
                  <w:r>
                    <w:rPr>
                      <w:rFonts w:ascii="Calibri" w:hAnsi="Calibri"/>
                      <w:b/>
                      <w:bCs w:val="0"/>
                      <w:lang w:val="en-GB" w:eastAsia="zh-TW"/>
                    </w:rPr>
                    <w:t>方</w:t>
                  </w:r>
                  <w:r>
                    <w:rPr>
                      <w:rFonts w:ascii="Calibri" w:hAnsi="Calibri"/>
                      <w:b/>
                      <w:bCs w:val="0"/>
                      <w:lang w:val="en-GB"/>
                    </w:rPr>
                    <w:t>位</w:t>
                  </w:r>
                </w:p>
              </w:tc>
              <w:tc>
                <w:tcPr>
                  <w:tcW w:w="2362" w:type="pct"/>
                </w:tcPr>
                <w:p>
                  <w:pPr>
                    <w:pStyle w:val="215"/>
                    <w:rPr>
                      <w:rFonts w:ascii="Calibri" w:hAnsi="Calibri"/>
                      <w:b/>
                      <w:bCs w:val="0"/>
                      <w:lang w:val="en-GB" w:eastAsia="zh-TW"/>
                    </w:rPr>
                  </w:pPr>
                  <w:r>
                    <w:rPr>
                      <w:rFonts w:ascii="Calibri" w:hAnsi="Calibri"/>
                      <w:b/>
                      <w:bCs w:val="0"/>
                      <w:lang w:val="en-GB" w:eastAsia="zh-TW"/>
                    </w:rPr>
                    <w:t>距离</w:t>
                  </w:r>
                  <w:r>
                    <w:rPr>
                      <w:rFonts w:ascii="Calibri" w:hAnsi="Calibri"/>
                      <w:b/>
                      <w:bCs w:val="0"/>
                      <w:lang w:val="en-GB"/>
                    </w:rPr>
                    <w:t>项目边界（m）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75" w:type="pct"/>
                  <w:vAlign w:val="center"/>
                </w:tcPr>
                <w:p>
                  <w:pPr>
                    <w:pStyle w:val="215"/>
                    <w:rPr>
                      <w:rFonts w:ascii="Calibri" w:hAnsi="Calibri"/>
                      <w:lang w:val="en-GB"/>
                    </w:rPr>
                  </w:pPr>
                  <w:r>
                    <w:rPr>
                      <w:rFonts w:ascii="Calibri" w:hAnsi="Calibri"/>
                      <w:lang w:val="en-GB"/>
                    </w:rPr>
                    <w:t>环境空气</w:t>
                  </w:r>
                </w:p>
              </w:tc>
              <w:tc>
                <w:tcPr>
                  <w:tcW w:w="1089" w:type="pct"/>
                  <w:vAlign w:val="center"/>
                </w:tcPr>
                <w:p>
                  <w:pPr>
                    <w:pStyle w:val="215"/>
                    <w:rPr>
                      <w:rFonts w:ascii="Calibri" w:hAnsi="Calibri"/>
                      <w:lang w:val="en-GB" w:eastAsia="zh-TW"/>
                    </w:rPr>
                  </w:pPr>
                  <w:r>
                    <w:rPr>
                      <w:rFonts w:hint="eastAsia" w:ascii="Calibri" w:hAnsi="Calibri"/>
                      <w:lang w:val="en-GB" w:eastAsia="zh-TW"/>
                    </w:rPr>
                    <w:t>新户村</w:t>
                  </w:r>
                </w:p>
              </w:tc>
              <w:tc>
                <w:tcPr>
                  <w:tcW w:w="674" w:type="pct"/>
                  <w:vAlign w:val="center"/>
                </w:tcPr>
                <w:p>
                  <w:pPr>
                    <w:pStyle w:val="215"/>
                    <w:rPr>
                      <w:rFonts w:ascii="Calibri" w:hAnsi="Calibri"/>
                      <w:lang w:val="en-GB" w:eastAsia="zh-TW"/>
                    </w:rPr>
                  </w:pPr>
                  <w:r>
                    <w:rPr>
                      <w:rFonts w:hint="eastAsia" w:ascii="Calibri" w:hAnsi="Calibri"/>
                      <w:lang w:val="en-GB"/>
                    </w:rPr>
                    <w:t>NE</w:t>
                  </w:r>
                </w:p>
              </w:tc>
              <w:tc>
                <w:tcPr>
                  <w:tcW w:w="2362" w:type="pct"/>
                  <w:vAlign w:val="center"/>
                </w:tcPr>
                <w:p>
                  <w:pPr>
                    <w:pStyle w:val="215"/>
                    <w:rPr>
                      <w:rFonts w:ascii="Calibri" w:hAnsi="Calibri"/>
                      <w:lang w:val="en-GB"/>
                    </w:rPr>
                  </w:pPr>
                  <w:r>
                    <w:rPr>
                      <w:rFonts w:hint="eastAsia" w:ascii="Calibri" w:hAnsi="Calibri"/>
                      <w:lang w:val="en-GB"/>
                    </w:rPr>
                    <w:t>4</w:t>
                  </w:r>
                  <w:r>
                    <w:rPr>
                      <w:rFonts w:ascii="Calibri" w:hAnsi="Calibri"/>
                      <w:lang w:val="en-GB"/>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75" w:type="pct"/>
                </w:tcPr>
                <w:p>
                  <w:pPr>
                    <w:pStyle w:val="215"/>
                    <w:rPr>
                      <w:rFonts w:ascii="Calibri" w:hAnsi="Calibri"/>
                      <w:lang w:val="en-GB" w:eastAsia="zh-TW"/>
                    </w:rPr>
                  </w:pPr>
                  <w:r>
                    <w:rPr>
                      <w:rFonts w:ascii="Calibri" w:hAnsi="Calibri"/>
                      <w:lang w:val="en-GB" w:eastAsia="zh-TW"/>
                    </w:rPr>
                    <w:t>地表水</w:t>
                  </w:r>
                </w:p>
              </w:tc>
              <w:tc>
                <w:tcPr>
                  <w:tcW w:w="4125" w:type="pct"/>
                  <w:gridSpan w:val="3"/>
                </w:tcPr>
                <w:p>
                  <w:pPr>
                    <w:pStyle w:val="215"/>
                    <w:rPr>
                      <w:rFonts w:ascii="Calibri" w:hAnsi="Calibri" w:eastAsiaTheme="minorEastAsia"/>
                    </w:rPr>
                  </w:pPr>
                  <w:r>
                    <w:rPr>
                      <w:rFonts w:hint="eastAsia" w:ascii="Calibri" w:hAnsi="Calibri" w:eastAsiaTheme="minor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75" w:type="pct"/>
                </w:tcPr>
                <w:p>
                  <w:pPr>
                    <w:pStyle w:val="215"/>
                    <w:rPr>
                      <w:rFonts w:ascii="Calibri" w:hAnsi="Calibri"/>
                      <w:lang w:val="en-GB"/>
                    </w:rPr>
                  </w:pPr>
                  <w:r>
                    <w:rPr>
                      <w:rFonts w:ascii="Calibri" w:hAnsi="Calibri"/>
                      <w:lang w:val="en-GB"/>
                    </w:rPr>
                    <w:t>地下水</w:t>
                  </w:r>
                </w:p>
              </w:tc>
              <w:tc>
                <w:tcPr>
                  <w:tcW w:w="4125" w:type="pct"/>
                  <w:gridSpan w:val="3"/>
                </w:tcPr>
                <w:p>
                  <w:pPr>
                    <w:pStyle w:val="215"/>
                    <w:rPr>
                      <w:rFonts w:ascii="Calibri" w:hAnsi="Calibri"/>
                      <w:lang w:val="en-GB"/>
                    </w:rPr>
                  </w:pPr>
                  <w:r>
                    <w:rPr>
                      <w:rFonts w:hint="eastAsia" w:ascii="Calibri" w:hAnsi="Calibri"/>
                      <w:lang w:val="en-GB"/>
                    </w:rPr>
                    <w:t>本项目厂界500米范围内无地下水集中式饮用水水源和热水、矿泉水、温泉等特殊地下水资源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875" w:type="pct"/>
                </w:tcPr>
                <w:p>
                  <w:pPr>
                    <w:pStyle w:val="215"/>
                    <w:rPr>
                      <w:rFonts w:ascii="Calibri" w:hAnsi="Calibri"/>
                      <w:lang w:val="en-GB" w:eastAsia="zh-TW"/>
                    </w:rPr>
                  </w:pPr>
                  <w:r>
                    <w:rPr>
                      <w:rFonts w:ascii="Calibri" w:hAnsi="Calibri"/>
                      <w:lang w:val="en-GB" w:eastAsia="zh-TW"/>
                    </w:rPr>
                    <w:t>噪</w:t>
                  </w:r>
                  <w:r>
                    <w:rPr>
                      <w:rFonts w:ascii="Calibri" w:hAnsi="Calibri"/>
                      <w:lang w:val="en-GB"/>
                    </w:rPr>
                    <w:t>声</w:t>
                  </w:r>
                </w:p>
              </w:tc>
              <w:tc>
                <w:tcPr>
                  <w:tcW w:w="4125" w:type="pct"/>
                  <w:gridSpan w:val="3"/>
                </w:tcPr>
                <w:p>
                  <w:pPr>
                    <w:pStyle w:val="215"/>
                    <w:rPr>
                      <w:rFonts w:ascii="Calibri" w:hAnsi="Calibri"/>
                      <w:lang w:val="en-GB"/>
                    </w:rPr>
                  </w:pPr>
                  <w:r>
                    <w:rPr>
                      <w:rFonts w:ascii="Calibri" w:hAnsi="Calibri"/>
                      <w:lang w:val="en-GB"/>
                    </w:rPr>
                    <w:t>本项目厂界外</w:t>
                  </w:r>
                  <w:r>
                    <w:rPr>
                      <w:rFonts w:hint="eastAsia" w:ascii="Calibri" w:hAnsi="Calibri"/>
                      <w:lang w:val="en-GB"/>
                    </w:rPr>
                    <w:t>50m范围内无声环境保护目标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45" w:hRule="atLeast"/>
              </w:trPr>
              <w:tc>
                <w:tcPr>
                  <w:tcW w:w="875" w:type="pct"/>
                </w:tcPr>
                <w:p>
                  <w:pPr>
                    <w:pStyle w:val="215"/>
                    <w:rPr>
                      <w:rFonts w:ascii="Calibri" w:hAnsi="Calibri"/>
                      <w:lang w:val="en-GB" w:eastAsia="zh-TW"/>
                    </w:rPr>
                  </w:pPr>
                  <w:r>
                    <w:rPr>
                      <w:rFonts w:hint="eastAsia" w:ascii="Calibri" w:hAnsi="Calibri"/>
                      <w:lang w:val="en-GB" w:eastAsia="zh-TW"/>
                    </w:rPr>
                    <w:t>生态环境</w:t>
                  </w:r>
                </w:p>
              </w:tc>
              <w:tc>
                <w:tcPr>
                  <w:tcW w:w="4125" w:type="pct"/>
                  <w:gridSpan w:val="3"/>
                </w:tcPr>
                <w:p>
                  <w:pPr>
                    <w:pStyle w:val="215"/>
                    <w:rPr>
                      <w:rFonts w:ascii="Calibri" w:hAnsi="Calibri"/>
                      <w:lang w:val="en-GB"/>
                    </w:rPr>
                  </w:pPr>
                  <w:r>
                    <w:rPr>
                      <w:rFonts w:hint="eastAsia" w:ascii="Calibri" w:hAnsi="Calibri"/>
                      <w:lang w:val="en-GB"/>
                    </w:rPr>
                    <w:t>项目位于新疆昌吉州昌吉市高新技术产业开发区北环西路11号，拟建项目区域内无生态环境保护目标</w:t>
                  </w:r>
                </w:p>
              </w:tc>
            </w:tr>
          </w:tbl>
          <w:p>
            <w:pPr>
              <w:widowControl/>
              <w:spacing w:line="360" w:lineRule="auto"/>
              <w:ind w:firstLine="480"/>
              <w:rPr>
                <w:rFonts w:ascii="宋体" w:hAnsi="宋体" w:cs="宋体"/>
                <w:kern w:val="0"/>
                <w:szCs w:val="21"/>
                <w:lang w:val="en-GB"/>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rFonts w:ascii="宋体" w:hAnsi="宋体" w:cs="宋体"/>
                <w:kern w:val="0"/>
                <w:szCs w:val="21"/>
              </w:rPr>
            </w:pPr>
            <w:r>
              <w:rPr>
                <w:rFonts w:hint="eastAsia" w:ascii="宋体" w:hAnsi="宋体" w:cs="宋体"/>
                <w:kern w:val="0"/>
                <w:szCs w:val="21"/>
              </w:rPr>
              <w:t>污染</w:t>
            </w:r>
          </w:p>
          <w:p>
            <w:pPr>
              <w:adjustRightInd w:val="0"/>
              <w:snapToGrid w:val="0"/>
              <w:jc w:val="center"/>
              <w:rPr>
                <w:rFonts w:ascii="宋体" w:hAnsi="宋体" w:cs="宋体"/>
                <w:kern w:val="0"/>
                <w:szCs w:val="21"/>
              </w:rPr>
            </w:pPr>
            <w:r>
              <w:rPr>
                <w:rFonts w:hint="eastAsia" w:ascii="宋体" w:hAnsi="宋体" w:cs="宋体"/>
                <w:kern w:val="0"/>
                <w:szCs w:val="21"/>
              </w:rPr>
              <w:t>物排</w:t>
            </w:r>
          </w:p>
          <w:p>
            <w:pPr>
              <w:adjustRightInd w:val="0"/>
              <w:snapToGrid w:val="0"/>
              <w:jc w:val="center"/>
              <w:rPr>
                <w:rFonts w:ascii="宋体" w:hAnsi="宋体" w:cs="宋体"/>
                <w:kern w:val="0"/>
                <w:szCs w:val="21"/>
              </w:rPr>
            </w:pPr>
            <w:r>
              <w:rPr>
                <w:rFonts w:hint="eastAsia" w:ascii="宋体" w:hAnsi="宋体" w:cs="宋体"/>
                <w:kern w:val="0"/>
                <w:szCs w:val="21"/>
              </w:rPr>
              <w:t>放控</w:t>
            </w:r>
          </w:p>
          <w:p>
            <w:pPr>
              <w:adjustRightInd w:val="0"/>
              <w:snapToGrid w:val="0"/>
              <w:jc w:val="center"/>
              <w:rPr>
                <w:rFonts w:ascii="宋体" w:hAnsi="宋体" w:cs="宋体"/>
                <w:kern w:val="0"/>
                <w:szCs w:val="21"/>
              </w:rPr>
            </w:pPr>
            <w:r>
              <w:rPr>
                <w:rFonts w:hint="eastAsia" w:ascii="宋体" w:hAnsi="宋体" w:cs="宋体"/>
                <w:kern w:val="0"/>
                <w:szCs w:val="21"/>
              </w:rPr>
              <w:t>制标</w:t>
            </w:r>
          </w:p>
          <w:p>
            <w:pPr>
              <w:adjustRightInd w:val="0"/>
              <w:snapToGrid w:val="0"/>
              <w:jc w:val="center"/>
              <w:rPr>
                <w:rFonts w:ascii="宋体" w:hAnsi="宋体" w:cs="宋体"/>
                <w:kern w:val="0"/>
                <w:szCs w:val="21"/>
              </w:rPr>
            </w:pPr>
            <w:r>
              <w:rPr>
                <w:rFonts w:hint="eastAsia" w:ascii="宋体" w:hAnsi="宋体" w:cs="宋体"/>
                <w:kern w:val="0"/>
                <w:szCs w:val="21"/>
              </w:rPr>
              <w:t>准</w:t>
            </w:r>
          </w:p>
        </w:tc>
        <w:tc>
          <w:tcPr>
            <w:tcW w:w="8190" w:type="dxa"/>
            <w:vAlign w:val="center"/>
          </w:tcPr>
          <w:p>
            <w:pPr>
              <w:spacing w:before="120" w:beforeLines="50" w:line="360" w:lineRule="auto"/>
              <w:ind w:firstLine="482" w:firstLineChars="200"/>
              <w:rPr>
                <w:b/>
                <w:bCs/>
                <w:lang w:val="en-GB"/>
              </w:rPr>
            </w:pPr>
            <w:r>
              <w:rPr>
                <w:b/>
                <w:bCs/>
                <w:lang w:val="en-GB"/>
              </w:rPr>
              <w:t>1、废气排放标准</w:t>
            </w:r>
          </w:p>
          <w:p>
            <w:pPr>
              <w:adjustRightInd w:val="0"/>
              <w:snapToGrid w:val="0"/>
              <w:spacing w:line="360" w:lineRule="auto"/>
              <w:ind w:firstLine="480" w:firstLineChars="200"/>
              <w:rPr>
                <w:lang w:val="en-GB"/>
              </w:rPr>
            </w:pPr>
            <w:r>
              <w:rPr>
                <w:rFonts w:hint="eastAsia"/>
                <w:lang w:val="en-GB"/>
              </w:rPr>
              <w:t>项目有组织颗粒物执行《大气污染物综合排放标准》（GB16297-1996）表2排放浓度限值；有组织VOCs、甲醛执行《大气污染物综合排放标准》（GB16297-1996）表2中标准。</w:t>
            </w:r>
          </w:p>
          <w:p>
            <w:pPr>
              <w:adjustRightInd w:val="0"/>
              <w:snapToGrid w:val="0"/>
              <w:spacing w:line="360" w:lineRule="auto"/>
              <w:ind w:firstLine="480" w:firstLineChars="200"/>
              <w:rPr>
                <w:lang w:val="en-GB"/>
              </w:rPr>
            </w:pPr>
            <w:r>
              <w:rPr>
                <w:rFonts w:hint="eastAsia"/>
                <w:lang w:val="en-GB"/>
              </w:rPr>
              <w:t>无组织颗粒物执行《大气污染物综合排放标准》（GB16297-1996）表2无组织</w:t>
            </w:r>
            <w:r>
              <w:rPr>
                <w:lang w:val="en-GB"/>
              </w:rPr>
              <w:t>排放浓度</w:t>
            </w:r>
            <w:r>
              <w:rPr>
                <w:rFonts w:hint="eastAsia"/>
                <w:lang w:val="en-GB"/>
              </w:rPr>
              <w:t>限值；无组织VOCs执行</w:t>
            </w:r>
            <w:r>
              <w:rPr>
                <w:rFonts w:hint="eastAsia"/>
              </w:rPr>
              <w:t>《大气污染物综合排放标准》（GB16297-1996）</w:t>
            </w:r>
            <w:r>
              <w:rPr>
                <w:rFonts w:hint="eastAsia"/>
                <w:lang w:val="en-GB"/>
              </w:rPr>
              <w:t>、</w:t>
            </w:r>
            <w:r>
              <w:t>《挥发性有机物无组织排放控制标准》（GB37822-2019）</w:t>
            </w:r>
            <w:r>
              <w:rPr>
                <w:rFonts w:hint="eastAsia"/>
              </w:rPr>
              <w:t>要求；无组织甲醛执行</w:t>
            </w:r>
            <w:r>
              <w:rPr>
                <w:rFonts w:hint="eastAsia"/>
                <w:lang w:val="en-GB"/>
              </w:rPr>
              <w:t>《大气污染物综合排放标准》（GB16297-1996）表2无组织</w:t>
            </w:r>
            <w:r>
              <w:rPr>
                <w:lang w:val="en-GB"/>
              </w:rPr>
              <w:t>排放浓度</w:t>
            </w:r>
            <w:r>
              <w:rPr>
                <w:rFonts w:hint="eastAsia"/>
                <w:lang w:val="en-GB"/>
              </w:rPr>
              <w:t>限值。</w:t>
            </w:r>
          </w:p>
          <w:p>
            <w:pPr>
              <w:adjustRightInd w:val="0"/>
              <w:snapToGrid w:val="0"/>
              <w:jc w:val="center"/>
              <w:rPr>
                <w:b/>
                <w:bCs/>
                <w:sz w:val="21"/>
                <w:szCs w:val="21"/>
              </w:rPr>
            </w:pPr>
            <w:r>
              <w:rPr>
                <w:b/>
                <w:bCs/>
                <w:sz w:val="21"/>
                <w:szCs w:val="21"/>
              </w:rPr>
              <w:t>表3</w:t>
            </w:r>
            <w:r>
              <w:rPr>
                <w:rFonts w:hint="eastAsia"/>
                <w:b/>
                <w:bCs/>
                <w:sz w:val="21"/>
                <w:szCs w:val="21"/>
              </w:rPr>
              <w:t>-6</w:t>
            </w:r>
            <w:r>
              <w:rPr>
                <w:b/>
                <w:bCs/>
                <w:sz w:val="21"/>
                <w:szCs w:val="21"/>
              </w:rPr>
              <w:t xml:space="preserve">  大气污染物排放标准</w:t>
            </w:r>
          </w:p>
          <w:tbl>
            <w:tblPr>
              <w:tblStyle w:val="50"/>
              <w:tblW w:w="799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48"/>
              <w:gridCol w:w="1517"/>
              <w:gridCol w:w="1509"/>
              <w:gridCol w:w="1255"/>
              <w:gridCol w:w="28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21" w:hRule="atLeast"/>
                <w:jc w:val="center"/>
              </w:trPr>
              <w:tc>
                <w:tcPr>
                  <w:tcW w:w="530" w:type="pct"/>
                  <w:vMerge w:val="restart"/>
                  <w:vAlign w:val="center"/>
                </w:tcPr>
                <w:p>
                  <w:pPr>
                    <w:tabs>
                      <w:tab w:val="left" w:pos="1980"/>
                    </w:tabs>
                    <w:adjustRightInd w:val="0"/>
                    <w:spacing w:line="360" w:lineRule="exact"/>
                    <w:jc w:val="center"/>
                    <w:rPr>
                      <w:sz w:val="21"/>
                      <w:szCs w:val="21"/>
                    </w:rPr>
                  </w:pPr>
                  <w:r>
                    <w:rPr>
                      <w:sz w:val="21"/>
                      <w:szCs w:val="21"/>
                    </w:rPr>
                    <w:t>污染物</w:t>
                  </w:r>
                </w:p>
              </w:tc>
              <w:tc>
                <w:tcPr>
                  <w:tcW w:w="1893" w:type="pct"/>
                  <w:gridSpan w:val="2"/>
                  <w:vAlign w:val="center"/>
                </w:tcPr>
                <w:p>
                  <w:pPr>
                    <w:tabs>
                      <w:tab w:val="left" w:pos="1980"/>
                    </w:tabs>
                    <w:adjustRightInd w:val="0"/>
                    <w:spacing w:line="360" w:lineRule="exact"/>
                    <w:jc w:val="center"/>
                    <w:rPr>
                      <w:sz w:val="21"/>
                      <w:szCs w:val="21"/>
                    </w:rPr>
                  </w:pPr>
                  <w:r>
                    <w:rPr>
                      <w:sz w:val="21"/>
                      <w:szCs w:val="21"/>
                    </w:rPr>
                    <w:t>有组织</w:t>
                  </w:r>
                </w:p>
              </w:tc>
              <w:tc>
                <w:tcPr>
                  <w:tcW w:w="783" w:type="pct"/>
                  <w:vMerge w:val="restart"/>
                  <w:vAlign w:val="center"/>
                </w:tcPr>
                <w:p>
                  <w:pPr>
                    <w:tabs>
                      <w:tab w:val="left" w:pos="1980"/>
                    </w:tabs>
                    <w:adjustRightInd w:val="0"/>
                    <w:spacing w:line="360" w:lineRule="exact"/>
                    <w:jc w:val="center"/>
                    <w:rPr>
                      <w:sz w:val="21"/>
                      <w:szCs w:val="21"/>
                    </w:rPr>
                  </w:pPr>
                  <w:r>
                    <w:rPr>
                      <w:sz w:val="21"/>
                      <w:szCs w:val="21"/>
                    </w:rPr>
                    <w:t>无组织监控浓度限值（mg/m</w:t>
                  </w:r>
                  <w:r>
                    <w:rPr>
                      <w:sz w:val="21"/>
                      <w:szCs w:val="21"/>
                      <w:vertAlign w:val="superscript"/>
                    </w:rPr>
                    <w:t>3</w:t>
                  </w:r>
                  <w:r>
                    <w:rPr>
                      <w:sz w:val="21"/>
                      <w:szCs w:val="21"/>
                    </w:rPr>
                    <w:t>）</w:t>
                  </w:r>
                </w:p>
              </w:tc>
              <w:tc>
                <w:tcPr>
                  <w:tcW w:w="1794" w:type="pct"/>
                  <w:vMerge w:val="restart"/>
                  <w:vAlign w:val="center"/>
                </w:tcPr>
                <w:p>
                  <w:pPr>
                    <w:tabs>
                      <w:tab w:val="left" w:pos="1980"/>
                    </w:tabs>
                    <w:adjustRightInd w:val="0"/>
                    <w:spacing w:line="360" w:lineRule="exact"/>
                    <w:jc w:val="center"/>
                    <w:rPr>
                      <w:sz w:val="21"/>
                      <w:szCs w:val="21"/>
                    </w:rPr>
                  </w:pPr>
                  <w:r>
                    <w:rPr>
                      <w:sz w:val="21"/>
                      <w:szCs w:val="21"/>
                    </w:rPr>
                    <w:t>标准名称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30" w:type="pct"/>
                  <w:vMerge w:val="continue"/>
                  <w:vAlign w:val="center"/>
                </w:tcPr>
                <w:p>
                  <w:pPr>
                    <w:tabs>
                      <w:tab w:val="left" w:pos="1980"/>
                    </w:tabs>
                    <w:adjustRightInd w:val="0"/>
                    <w:spacing w:line="360" w:lineRule="exact"/>
                    <w:jc w:val="center"/>
                    <w:rPr>
                      <w:sz w:val="21"/>
                      <w:szCs w:val="21"/>
                    </w:rPr>
                  </w:pPr>
                </w:p>
              </w:tc>
              <w:tc>
                <w:tcPr>
                  <w:tcW w:w="949" w:type="pct"/>
                  <w:vAlign w:val="center"/>
                </w:tcPr>
                <w:p>
                  <w:pPr>
                    <w:tabs>
                      <w:tab w:val="left" w:pos="1980"/>
                    </w:tabs>
                    <w:adjustRightInd w:val="0"/>
                    <w:spacing w:line="360" w:lineRule="exact"/>
                    <w:jc w:val="center"/>
                    <w:rPr>
                      <w:sz w:val="21"/>
                      <w:szCs w:val="21"/>
                    </w:rPr>
                  </w:pPr>
                  <w:r>
                    <w:rPr>
                      <w:sz w:val="21"/>
                      <w:szCs w:val="21"/>
                    </w:rPr>
                    <w:t>最高允许排放浓度（mg/m</w:t>
                  </w:r>
                  <w:r>
                    <w:rPr>
                      <w:sz w:val="21"/>
                      <w:szCs w:val="21"/>
                      <w:vertAlign w:val="superscript"/>
                    </w:rPr>
                    <w:t>3</w:t>
                  </w:r>
                  <w:r>
                    <w:rPr>
                      <w:sz w:val="21"/>
                      <w:szCs w:val="21"/>
                    </w:rPr>
                    <w:t>）</w:t>
                  </w:r>
                </w:p>
              </w:tc>
              <w:tc>
                <w:tcPr>
                  <w:tcW w:w="944" w:type="pct"/>
                  <w:vAlign w:val="center"/>
                </w:tcPr>
                <w:p>
                  <w:pPr>
                    <w:tabs>
                      <w:tab w:val="left" w:pos="1980"/>
                    </w:tabs>
                    <w:adjustRightInd w:val="0"/>
                    <w:spacing w:line="360" w:lineRule="exact"/>
                    <w:jc w:val="center"/>
                    <w:rPr>
                      <w:sz w:val="21"/>
                      <w:szCs w:val="21"/>
                    </w:rPr>
                  </w:pPr>
                  <w:r>
                    <w:rPr>
                      <w:sz w:val="21"/>
                      <w:szCs w:val="21"/>
                    </w:rPr>
                    <w:t>最高允许排放速率（kg/h）</w:t>
                  </w:r>
                </w:p>
              </w:tc>
              <w:tc>
                <w:tcPr>
                  <w:tcW w:w="783" w:type="pct"/>
                  <w:vMerge w:val="continue"/>
                  <w:vAlign w:val="center"/>
                </w:tcPr>
                <w:p>
                  <w:pPr>
                    <w:tabs>
                      <w:tab w:val="left" w:pos="1980"/>
                    </w:tabs>
                    <w:adjustRightInd w:val="0"/>
                    <w:spacing w:line="360" w:lineRule="exact"/>
                    <w:jc w:val="center"/>
                    <w:rPr>
                      <w:sz w:val="21"/>
                      <w:szCs w:val="21"/>
                    </w:rPr>
                  </w:pPr>
                </w:p>
              </w:tc>
              <w:tc>
                <w:tcPr>
                  <w:tcW w:w="1794" w:type="pct"/>
                  <w:vMerge w:val="continue"/>
                  <w:vAlign w:val="center"/>
                </w:tcPr>
                <w:p>
                  <w:pPr>
                    <w:tabs>
                      <w:tab w:val="left" w:pos="1980"/>
                    </w:tabs>
                    <w:adjustRightInd w:val="0"/>
                    <w:spacing w:line="360" w:lineRule="exact"/>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530" w:type="pct"/>
                  <w:vAlign w:val="center"/>
                </w:tcPr>
                <w:p>
                  <w:pPr>
                    <w:tabs>
                      <w:tab w:val="left" w:pos="1980"/>
                    </w:tabs>
                    <w:adjustRightInd w:val="0"/>
                    <w:spacing w:line="360" w:lineRule="exact"/>
                    <w:jc w:val="center"/>
                    <w:rPr>
                      <w:sz w:val="21"/>
                      <w:szCs w:val="21"/>
                    </w:rPr>
                  </w:pPr>
                  <w:r>
                    <w:rPr>
                      <w:sz w:val="21"/>
                      <w:szCs w:val="21"/>
                    </w:rPr>
                    <w:t>颗粒物</w:t>
                  </w:r>
                </w:p>
              </w:tc>
              <w:tc>
                <w:tcPr>
                  <w:tcW w:w="949" w:type="pct"/>
                  <w:vAlign w:val="center"/>
                </w:tcPr>
                <w:p>
                  <w:pPr>
                    <w:tabs>
                      <w:tab w:val="left" w:pos="1980"/>
                    </w:tabs>
                    <w:adjustRightInd w:val="0"/>
                    <w:spacing w:line="360" w:lineRule="exact"/>
                    <w:jc w:val="center"/>
                    <w:rPr>
                      <w:sz w:val="21"/>
                      <w:szCs w:val="21"/>
                    </w:rPr>
                  </w:pPr>
                  <w:r>
                    <w:rPr>
                      <w:rFonts w:hint="eastAsia"/>
                      <w:sz w:val="21"/>
                      <w:szCs w:val="21"/>
                    </w:rPr>
                    <w:t>120</w:t>
                  </w:r>
                </w:p>
              </w:tc>
              <w:tc>
                <w:tcPr>
                  <w:tcW w:w="944" w:type="pct"/>
                  <w:vAlign w:val="center"/>
                </w:tcPr>
                <w:p>
                  <w:pPr>
                    <w:tabs>
                      <w:tab w:val="left" w:pos="1980"/>
                    </w:tabs>
                    <w:adjustRightInd w:val="0"/>
                    <w:spacing w:line="360" w:lineRule="exact"/>
                    <w:jc w:val="center"/>
                    <w:rPr>
                      <w:sz w:val="21"/>
                      <w:szCs w:val="21"/>
                    </w:rPr>
                  </w:pPr>
                  <w:r>
                    <w:rPr>
                      <w:sz w:val="21"/>
                      <w:szCs w:val="21"/>
                    </w:rPr>
                    <w:t>3.5</w:t>
                  </w:r>
                </w:p>
              </w:tc>
              <w:tc>
                <w:tcPr>
                  <w:tcW w:w="783" w:type="pct"/>
                  <w:vAlign w:val="center"/>
                </w:tcPr>
                <w:p>
                  <w:pPr>
                    <w:tabs>
                      <w:tab w:val="left" w:pos="1980"/>
                    </w:tabs>
                    <w:adjustRightInd w:val="0"/>
                    <w:spacing w:line="360" w:lineRule="exact"/>
                    <w:jc w:val="center"/>
                    <w:rPr>
                      <w:sz w:val="21"/>
                      <w:szCs w:val="21"/>
                    </w:rPr>
                  </w:pPr>
                  <w:r>
                    <w:rPr>
                      <w:rFonts w:hint="eastAsia"/>
                      <w:sz w:val="21"/>
                      <w:szCs w:val="21"/>
                    </w:rPr>
                    <w:t>1.0</w:t>
                  </w:r>
                </w:p>
              </w:tc>
              <w:tc>
                <w:tcPr>
                  <w:tcW w:w="1794" w:type="pct"/>
                  <w:vAlign w:val="center"/>
                </w:tcPr>
                <w:p>
                  <w:pPr>
                    <w:tabs>
                      <w:tab w:val="left" w:pos="1980"/>
                    </w:tabs>
                    <w:adjustRightInd w:val="0"/>
                    <w:spacing w:line="360" w:lineRule="exact"/>
                    <w:jc w:val="center"/>
                    <w:rPr>
                      <w:sz w:val="21"/>
                      <w:szCs w:val="21"/>
                    </w:rPr>
                  </w:pPr>
                  <w:r>
                    <w:rPr>
                      <w:sz w:val="21"/>
                      <w:szCs w:val="21"/>
                    </w:rPr>
                    <w:t>《大气污染物综合排放</w:t>
                  </w:r>
                  <w:r>
                    <w:rPr>
                      <w:rFonts w:hint="eastAsia"/>
                      <w:sz w:val="21"/>
                      <w:szCs w:val="21"/>
                    </w:rPr>
                    <w:t>标</w:t>
                  </w:r>
                  <w:r>
                    <w:rPr>
                      <w:sz w:val="21"/>
                      <w:szCs w:val="21"/>
                    </w:rPr>
                    <w:t>准》（GB16397-1996）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530" w:type="pct"/>
                  <w:vMerge w:val="restart"/>
                  <w:vAlign w:val="center"/>
                </w:tcPr>
                <w:p>
                  <w:pPr>
                    <w:tabs>
                      <w:tab w:val="left" w:pos="1980"/>
                    </w:tabs>
                    <w:adjustRightInd w:val="0"/>
                    <w:spacing w:line="360" w:lineRule="exact"/>
                    <w:jc w:val="center"/>
                    <w:rPr>
                      <w:sz w:val="21"/>
                      <w:szCs w:val="21"/>
                    </w:rPr>
                  </w:pPr>
                  <w:r>
                    <w:rPr>
                      <w:rFonts w:hint="eastAsia"/>
                      <w:sz w:val="21"/>
                      <w:szCs w:val="21"/>
                    </w:rPr>
                    <w:t>VOCs</w:t>
                  </w:r>
                </w:p>
              </w:tc>
              <w:tc>
                <w:tcPr>
                  <w:tcW w:w="949" w:type="pct"/>
                  <w:vMerge w:val="restart"/>
                  <w:vAlign w:val="center"/>
                </w:tcPr>
                <w:p>
                  <w:pPr>
                    <w:tabs>
                      <w:tab w:val="left" w:pos="1980"/>
                    </w:tabs>
                    <w:adjustRightInd w:val="0"/>
                    <w:spacing w:line="360" w:lineRule="exact"/>
                    <w:jc w:val="center"/>
                    <w:rPr>
                      <w:sz w:val="21"/>
                      <w:szCs w:val="21"/>
                    </w:rPr>
                  </w:pPr>
                  <w:r>
                    <w:rPr>
                      <w:rFonts w:hint="eastAsia"/>
                      <w:sz w:val="21"/>
                      <w:szCs w:val="21"/>
                    </w:rPr>
                    <w:t>120</w:t>
                  </w:r>
                </w:p>
              </w:tc>
              <w:tc>
                <w:tcPr>
                  <w:tcW w:w="944" w:type="pct"/>
                  <w:vMerge w:val="restart"/>
                  <w:vAlign w:val="center"/>
                </w:tcPr>
                <w:p>
                  <w:pPr>
                    <w:tabs>
                      <w:tab w:val="left" w:pos="1980"/>
                    </w:tabs>
                    <w:adjustRightInd w:val="0"/>
                    <w:spacing w:line="360" w:lineRule="exact"/>
                    <w:jc w:val="center"/>
                    <w:rPr>
                      <w:sz w:val="21"/>
                      <w:szCs w:val="21"/>
                    </w:rPr>
                  </w:pPr>
                  <w:r>
                    <w:rPr>
                      <w:rFonts w:hint="eastAsia"/>
                      <w:sz w:val="21"/>
                      <w:szCs w:val="21"/>
                    </w:rPr>
                    <w:t>10.0</w:t>
                  </w:r>
                </w:p>
              </w:tc>
              <w:tc>
                <w:tcPr>
                  <w:tcW w:w="785" w:type="pct"/>
                  <w:vAlign w:val="center"/>
                </w:tcPr>
                <w:p>
                  <w:pPr>
                    <w:tabs>
                      <w:tab w:val="left" w:pos="1980"/>
                    </w:tabs>
                    <w:adjustRightInd w:val="0"/>
                    <w:spacing w:line="360" w:lineRule="exact"/>
                    <w:jc w:val="center"/>
                    <w:rPr>
                      <w:sz w:val="21"/>
                      <w:szCs w:val="21"/>
                    </w:rPr>
                  </w:pPr>
                  <w:r>
                    <w:rPr>
                      <w:rFonts w:hint="eastAsia"/>
                      <w:sz w:val="21"/>
                      <w:szCs w:val="21"/>
                    </w:rPr>
                    <w:t>厂界外</w:t>
                  </w:r>
                </w:p>
                <w:p>
                  <w:pPr>
                    <w:tabs>
                      <w:tab w:val="left" w:pos="1980"/>
                    </w:tabs>
                    <w:adjustRightInd w:val="0"/>
                    <w:spacing w:line="360" w:lineRule="exact"/>
                    <w:jc w:val="center"/>
                    <w:rPr>
                      <w:sz w:val="21"/>
                      <w:szCs w:val="21"/>
                    </w:rPr>
                  </w:pPr>
                  <w:r>
                    <w:rPr>
                      <w:rFonts w:hint="eastAsia"/>
                      <w:sz w:val="21"/>
                      <w:szCs w:val="21"/>
                    </w:rPr>
                    <w:t>4</w:t>
                  </w:r>
                  <w:r>
                    <w:rPr>
                      <w:sz w:val="21"/>
                      <w:szCs w:val="21"/>
                    </w:rPr>
                    <w:t>.0</w:t>
                  </w:r>
                </w:p>
              </w:tc>
              <w:tc>
                <w:tcPr>
                  <w:tcW w:w="1792" w:type="pct"/>
                  <w:vAlign w:val="center"/>
                </w:tcPr>
                <w:p>
                  <w:pPr>
                    <w:tabs>
                      <w:tab w:val="left" w:pos="1980"/>
                    </w:tabs>
                    <w:adjustRightInd w:val="0"/>
                    <w:spacing w:line="360" w:lineRule="exact"/>
                    <w:jc w:val="center"/>
                    <w:rPr>
                      <w:sz w:val="21"/>
                      <w:szCs w:val="21"/>
                    </w:rPr>
                  </w:pPr>
                  <w:r>
                    <w:rPr>
                      <w:rFonts w:hint="eastAsia"/>
                      <w:sz w:val="21"/>
                      <w:szCs w:val="21"/>
                    </w:rPr>
                    <w:t>《大气污染物综合排放标准》（GB16297-1996）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530" w:type="pct"/>
                  <w:vMerge w:val="continue"/>
                  <w:vAlign w:val="center"/>
                </w:tcPr>
                <w:p>
                  <w:pPr>
                    <w:tabs>
                      <w:tab w:val="left" w:pos="1980"/>
                    </w:tabs>
                    <w:adjustRightInd w:val="0"/>
                    <w:spacing w:line="360" w:lineRule="exact"/>
                    <w:jc w:val="center"/>
                    <w:rPr>
                      <w:sz w:val="21"/>
                      <w:szCs w:val="21"/>
                    </w:rPr>
                  </w:pPr>
                </w:p>
              </w:tc>
              <w:tc>
                <w:tcPr>
                  <w:tcW w:w="949" w:type="pct"/>
                  <w:vMerge w:val="continue"/>
                  <w:vAlign w:val="center"/>
                </w:tcPr>
                <w:p>
                  <w:pPr>
                    <w:tabs>
                      <w:tab w:val="left" w:pos="1980"/>
                    </w:tabs>
                    <w:adjustRightInd w:val="0"/>
                    <w:spacing w:line="360" w:lineRule="exact"/>
                    <w:jc w:val="center"/>
                    <w:rPr>
                      <w:sz w:val="21"/>
                      <w:szCs w:val="21"/>
                    </w:rPr>
                  </w:pPr>
                </w:p>
              </w:tc>
              <w:tc>
                <w:tcPr>
                  <w:tcW w:w="944" w:type="pct"/>
                  <w:vMerge w:val="continue"/>
                  <w:vAlign w:val="center"/>
                </w:tcPr>
                <w:p>
                  <w:pPr>
                    <w:tabs>
                      <w:tab w:val="left" w:pos="1980"/>
                    </w:tabs>
                    <w:adjustRightInd w:val="0"/>
                    <w:spacing w:line="360" w:lineRule="exact"/>
                    <w:jc w:val="center"/>
                    <w:rPr>
                      <w:sz w:val="21"/>
                      <w:szCs w:val="21"/>
                    </w:rPr>
                  </w:pPr>
                </w:p>
              </w:tc>
              <w:tc>
                <w:tcPr>
                  <w:tcW w:w="785" w:type="pct"/>
                  <w:vAlign w:val="center"/>
                </w:tcPr>
                <w:p>
                  <w:pPr>
                    <w:tabs>
                      <w:tab w:val="left" w:pos="1980"/>
                    </w:tabs>
                    <w:adjustRightInd w:val="0"/>
                    <w:spacing w:line="360" w:lineRule="exact"/>
                    <w:jc w:val="center"/>
                    <w:rPr>
                      <w:color w:val="FF0000"/>
                      <w:sz w:val="21"/>
                      <w:szCs w:val="21"/>
                    </w:rPr>
                  </w:pPr>
                  <w:r>
                    <w:rPr>
                      <w:rFonts w:hint="eastAsia"/>
                      <w:color w:val="FF0000"/>
                      <w:sz w:val="21"/>
                      <w:szCs w:val="21"/>
                    </w:rPr>
                    <w:t>厂界内</w:t>
                  </w:r>
                </w:p>
                <w:p>
                  <w:pPr>
                    <w:tabs>
                      <w:tab w:val="left" w:pos="1980"/>
                    </w:tabs>
                    <w:adjustRightInd w:val="0"/>
                    <w:spacing w:line="360" w:lineRule="exact"/>
                    <w:jc w:val="center"/>
                    <w:rPr>
                      <w:color w:val="FF0000"/>
                      <w:sz w:val="21"/>
                      <w:szCs w:val="21"/>
                    </w:rPr>
                  </w:pPr>
                  <w:r>
                    <w:rPr>
                      <w:rFonts w:hint="eastAsia"/>
                      <w:color w:val="FF0000"/>
                      <w:sz w:val="21"/>
                      <w:szCs w:val="21"/>
                    </w:rPr>
                    <w:t>6.0</w:t>
                  </w:r>
                </w:p>
              </w:tc>
              <w:tc>
                <w:tcPr>
                  <w:tcW w:w="1792" w:type="pct"/>
                  <w:vAlign w:val="center"/>
                </w:tcPr>
                <w:p>
                  <w:pPr>
                    <w:tabs>
                      <w:tab w:val="left" w:pos="1980"/>
                    </w:tabs>
                    <w:adjustRightInd w:val="0"/>
                    <w:spacing w:line="360" w:lineRule="exact"/>
                    <w:jc w:val="center"/>
                    <w:rPr>
                      <w:color w:val="FF0000"/>
                      <w:sz w:val="21"/>
                      <w:szCs w:val="21"/>
                    </w:rPr>
                  </w:pPr>
                  <w:r>
                    <w:rPr>
                      <w:color w:val="FF0000"/>
                      <w:sz w:val="21"/>
                      <w:szCs w:val="21"/>
                    </w:rPr>
                    <w:t>《挥发性有机物无组织排放控制标准》（GB37822-2019）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30" w:type="pct"/>
                  <w:vAlign w:val="center"/>
                </w:tcPr>
                <w:p>
                  <w:pPr>
                    <w:tabs>
                      <w:tab w:val="left" w:pos="1980"/>
                    </w:tabs>
                    <w:adjustRightInd w:val="0"/>
                    <w:spacing w:line="360" w:lineRule="exact"/>
                    <w:jc w:val="center"/>
                    <w:rPr>
                      <w:sz w:val="21"/>
                      <w:szCs w:val="21"/>
                    </w:rPr>
                  </w:pPr>
                  <w:r>
                    <w:rPr>
                      <w:rFonts w:hint="eastAsia"/>
                      <w:sz w:val="21"/>
                      <w:szCs w:val="21"/>
                    </w:rPr>
                    <w:t>甲醛</w:t>
                  </w:r>
                </w:p>
              </w:tc>
              <w:tc>
                <w:tcPr>
                  <w:tcW w:w="949" w:type="pct"/>
                  <w:vAlign w:val="center"/>
                </w:tcPr>
                <w:p>
                  <w:pPr>
                    <w:tabs>
                      <w:tab w:val="left" w:pos="1980"/>
                    </w:tabs>
                    <w:adjustRightInd w:val="0"/>
                    <w:spacing w:line="360" w:lineRule="exact"/>
                    <w:jc w:val="center"/>
                    <w:rPr>
                      <w:sz w:val="21"/>
                      <w:szCs w:val="21"/>
                    </w:rPr>
                  </w:pPr>
                  <w:r>
                    <w:rPr>
                      <w:rFonts w:hint="eastAsia"/>
                      <w:sz w:val="21"/>
                      <w:szCs w:val="21"/>
                    </w:rPr>
                    <w:t>1</w:t>
                  </w:r>
                  <w:r>
                    <w:rPr>
                      <w:sz w:val="21"/>
                      <w:szCs w:val="21"/>
                    </w:rPr>
                    <w:t>2</w:t>
                  </w:r>
                </w:p>
              </w:tc>
              <w:tc>
                <w:tcPr>
                  <w:tcW w:w="944" w:type="pct"/>
                  <w:vAlign w:val="center"/>
                </w:tcPr>
                <w:p>
                  <w:pPr>
                    <w:tabs>
                      <w:tab w:val="left" w:pos="1980"/>
                    </w:tabs>
                    <w:adjustRightInd w:val="0"/>
                    <w:spacing w:line="360" w:lineRule="exact"/>
                    <w:jc w:val="center"/>
                    <w:rPr>
                      <w:sz w:val="21"/>
                      <w:szCs w:val="21"/>
                    </w:rPr>
                  </w:pPr>
                  <w:r>
                    <w:rPr>
                      <w:rFonts w:hint="eastAsia"/>
                      <w:sz w:val="21"/>
                      <w:szCs w:val="21"/>
                    </w:rPr>
                    <w:t>0.</w:t>
                  </w:r>
                  <w:r>
                    <w:rPr>
                      <w:sz w:val="21"/>
                      <w:szCs w:val="21"/>
                    </w:rPr>
                    <w:t>26</w:t>
                  </w:r>
                </w:p>
              </w:tc>
              <w:tc>
                <w:tcPr>
                  <w:tcW w:w="783" w:type="pct"/>
                  <w:vAlign w:val="center"/>
                </w:tcPr>
                <w:p>
                  <w:pPr>
                    <w:tabs>
                      <w:tab w:val="left" w:pos="1980"/>
                    </w:tabs>
                    <w:adjustRightInd w:val="0"/>
                    <w:spacing w:line="360" w:lineRule="exact"/>
                    <w:jc w:val="center"/>
                    <w:rPr>
                      <w:sz w:val="21"/>
                      <w:szCs w:val="21"/>
                    </w:rPr>
                  </w:pPr>
                  <w:r>
                    <w:rPr>
                      <w:rFonts w:hint="eastAsia"/>
                      <w:sz w:val="21"/>
                      <w:szCs w:val="21"/>
                    </w:rPr>
                    <w:t>0.</w:t>
                  </w:r>
                  <w:r>
                    <w:rPr>
                      <w:sz w:val="21"/>
                      <w:szCs w:val="21"/>
                    </w:rPr>
                    <w:t>2</w:t>
                  </w:r>
                </w:p>
              </w:tc>
              <w:tc>
                <w:tcPr>
                  <w:tcW w:w="1794" w:type="pct"/>
                  <w:vAlign w:val="center"/>
                </w:tcPr>
                <w:p>
                  <w:pPr>
                    <w:tabs>
                      <w:tab w:val="left" w:pos="1980"/>
                    </w:tabs>
                    <w:adjustRightInd w:val="0"/>
                    <w:spacing w:line="360" w:lineRule="exact"/>
                    <w:jc w:val="center"/>
                    <w:rPr>
                      <w:sz w:val="21"/>
                      <w:szCs w:val="21"/>
                    </w:rPr>
                  </w:pPr>
                  <w:r>
                    <w:rPr>
                      <w:rFonts w:hint="eastAsia"/>
                      <w:sz w:val="21"/>
                      <w:szCs w:val="21"/>
                    </w:rPr>
                    <w:t>《大气污染物综合排放标准》（GB16297-1996）</w:t>
                  </w:r>
                </w:p>
              </w:tc>
            </w:tr>
          </w:tbl>
          <w:p>
            <w:pPr>
              <w:adjustRightInd w:val="0"/>
              <w:snapToGrid w:val="0"/>
              <w:spacing w:before="120" w:beforeLines="50" w:line="360" w:lineRule="auto"/>
              <w:ind w:firstLine="482" w:firstLineChars="200"/>
              <w:rPr>
                <w:b/>
                <w:bCs/>
                <w:lang w:val="en-GB"/>
              </w:rPr>
            </w:pPr>
            <w:r>
              <w:rPr>
                <w:b/>
                <w:bCs/>
                <w:lang w:val="en-GB"/>
              </w:rPr>
              <w:t>2、噪声排放标准</w:t>
            </w:r>
          </w:p>
          <w:p>
            <w:pPr>
              <w:adjustRightInd w:val="0"/>
              <w:snapToGrid w:val="0"/>
              <w:spacing w:line="360" w:lineRule="auto"/>
              <w:ind w:firstLine="360" w:firstLineChars="150"/>
              <w:rPr>
                <w:lang w:val="en-GB"/>
              </w:rPr>
            </w:pPr>
            <w:r>
              <w:rPr>
                <w:lang w:val="en-GB"/>
              </w:rPr>
              <w:t>运营期噪声执行《工业企业厂界环境噪声排放标准》（GB12348-2008）中3类标准。</w:t>
            </w:r>
          </w:p>
          <w:p>
            <w:pPr>
              <w:pStyle w:val="100"/>
            </w:pPr>
            <w:r>
              <w:t>表</w:t>
            </w:r>
            <w:r>
              <w:rPr>
                <w:rFonts w:hint="eastAsia"/>
              </w:rPr>
              <w:t>3-7</w:t>
            </w:r>
            <w:r>
              <w:t xml:space="preserve"> 项目执行噪声值</w:t>
            </w:r>
          </w:p>
          <w:tbl>
            <w:tblPr>
              <w:tblStyle w:val="50"/>
              <w:tblW w:w="797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386"/>
              <w:gridCol w:w="1357"/>
              <w:gridCol w:w="415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080" w:type="dxa"/>
                  <w:vAlign w:val="center"/>
                </w:tcPr>
                <w:p>
                  <w:pPr>
                    <w:pStyle w:val="215"/>
                    <w:rPr>
                      <w:b/>
                      <w:bCs w:val="0"/>
                    </w:rPr>
                  </w:pPr>
                  <w:r>
                    <w:rPr>
                      <w:b/>
                      <w:bCs w:val="0"/>
                    </w:rPr>
                    <w:t>评价期</w:t>
                  </w:r>
                </w:p>
              </w:tc>
              <w:tc>
                <w:tcPr>
                  <w:tcW w:w="1386" w:type="dxa"/>
                  <w:vAlign w:val="center"/>
                </w:tcPr>
                <w:p>
                  <w:pPr>
                    <w:pStyle w:val="215"/>
                    <w:rPr>
                      <w:b/>
                      <w:bCs w:val="0"/>
                    </w:rPr>
                  </w:pPr>
                  <w:r>
                    <w:rPr>
                      <w:b/>
                      <w:bCs w:val="0"/>
                    </w:rPr>
                    <w:t>昼间dB（A）</w:t>
                  </w:r>
                </w:p>
              </w:tc>
              <w:tc>
                <w:tcPr>
                  <w:tcW w:w="1357" w:type="dxa"/>
                  <w:vAlign w:val="center"/>
                </w:tcPr>
                <w:p>
                  <w:pPr>
                    <w:pStyle w:val="215"/>
                    <w:rPr>
                      <w:b/>
                      <w:bCs w:val="0"/>
                    </w:rPr>
                  </w:pPr>
                  <w:r>
                    <w:rPr>
                      <w:b/>
                      <w:bCs w:val="0"/>
                    </w:rPr>
                    <w:t>夜间dB（A）</w:t>
                  </w:r>
                </w:p>
              </w:tc>
              <w:tc>
                <w:tcPr>
                  <w:tcW w:w="4155" w:type="dxa"/>
                  <w:vAlign w:val="center"/>
                </w:tcPr>
                <w:p>
                  <w:pPr>
                    <w:pStyle w:val="215"/>
                    <w:rPr>
                      <w:b/>
                      <w:bCs w:val="0"/>
                    </w:rPr>
                  </w:pPr>
                  <w:r>
                    <w:rPr>
                      <w:b/>
                      <w:bCs w:val="0"/>
                    </w:rPr>
                    <w:t>标准名称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1080" w:type="dxa"/>
                  <w:vAlign w:val="center"/>
                </w:tcPr>
                <w:p>
                  <w:pPr>
                    <w:pStyle w:val="215"/>
                  </w:pPr>
                  <w:r>
                    <w:t>运行期</w:t>
                  </w:r>
                </w:p>
              </w:tc>
              <w:tc>
                <w:tcPr>
                  <w:tcW w:w="1386" w:type="dxa"/>
                  <w:vAlign w:val="center"/>
                </w:tcPr>
                <w:p>
                  <w:pPr>
                    <w:pStyle w:val="215"/>
                  </w:pPr>
                  <w:r>
                    <w:t>65</w:t>
                  </w:r>
                </w:p>
              </w:tc>
              <w:tc>
                <w:tcPr>
                  <w:tcW w:w="1357" w:type="dxa"/>
                  <w:vAlign w:val="center"/>
                </w:tcPr>
                <w:p>
                  <w:pPr>
                    <w:pStyle w:val="215"/>
                  </w:pPr>
                  <w:r>
                    <w:t>55</w:t>
                  </w:r>
                </w:p>
              </w:tc>
              <w:tc>
                <w:tcPr>
                  <w:tcW w:w="4155" w:type="dxa"/>
                  <w:vAlign w:val="center"/>
                </w:tcPr>
                <w:p>
                  <w:pPr>
                    <w:pStyle w:val="215"/>
                  </w:pPr>
                  <w:r>
                    <w:t>《工业企业厂界环境噪声排放标准》（GB12348-2008）3类</w:t>
                  </w:r>
                </w:p>
              </w:tc>
            </w:tr>
          </w:tbl>
          <w:p>
            <w:pPr>
              <w:tabs>
                <w:tab w:val="left" w:pos="400"/>
              </w:tabs>
              <w:spacing w:line="450" w:lineRule="exact"/>
              <w:ind w:firstLine="482" w:firstLineChars="200"/>
              <w:rPr>
                <w:b/>
                <w:bCs/>
                <w:lang w:val="en-GB"/>
              </w:rPr>
            </w:pPr>
            <w:r>
              <w:rPr>
                <w:b/>
                <w:bCs/>
                <w:lang w:val="en-GB"/>
              </w:rPr>
              <w:t>4、固废排放标准</w:t>
            </w:r>
          </w:p>
          <w:p>
            <w:pPr>
              <w:tabs>
                <w:tab w:val="left" w:pos="400"/>
              </w:tabs>
              <w:spacing w:line="450" w:lineRule="exact"/>
              <w:ind w:firstLine="480" w:firstLineChars="200"/>
              <w:rPr>
                <w:bCs/>
              </w:rPr>
            </w:pPr>
            <w:r>
              <w:t>一般固废执行</w:t>
            </w:r>
            <w:r>
              <w:rPr>
                <w:rFonts w:hint="eastAsia"/>
              </w:rPr>
              <w:t>《一般工业固体废物贮存和填埋 污染控制标准》（GB18599-2020）</w:t>
            </w:r>
            <w:r>
              <w:rPr>
                <w:bCs/>
              </w:rPr>
              <w:t>要求</w:t>
            </w:r>
            <w:r>
              <w:rPr>
                <w:rFonts w:hint="eastAsia"/>
                <w:bCs/>
              </w:rPr>
              <w:t>；</w:t>
            </w:r>
          </w:p>
          <w:p>
            <w:pPr>
              <w:tabs>
                <w:tab w:val="left" w:pos="400"/>
              </w:tabs>
              <w:spacing w:line="450" w:lineRule="exact"/>
              <w:ind w:firstLine="480" w:firstLineChars="200"/>
            </w:pPr>
            <w:r>
              <w:rPr>
                <w:rFonts w:hint="eastAsia"/>
              </w:rPr>
              <w:t>危险废物执行《危险废物贮存污染控制标准》（GB18597-2001）及其修改单标准要求；</w:t>
            </w:r>
          </w:p>
          <w:p>
            <w:pPr>
              <w:adjustRightInd w:val="0"/>
              <w:snapToGrid w:val="0"/>
              <w:jc w:val="center"/>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总量</w:t>
            </w:r>
          </w:p>
          <w:p>
            <w:pPr>
              <w:adjustRightInd w:val="0"/>
              <w:snapToGrid w:val="0"/>
              <w:jc w:val="center"/>
              <w:rPr>
                <w:rFonts w:ascii="宋体" w:hAnsi="宋体" w:cs="宋体"/>
                <w:kern w:val="0"/>
                <w:szCs w:val="21"/>
              </w:rPr>
            </w:pPr>
            <w:r>
              <w:rPr>
                <w:rFonts w:hint="eastAsia" w:ascii="宋体" w:hAnsi="宋体" w:cs="宋体"/>
                <w:kern w:val="0"/>
                <w:szCs w:val="21"/>
              </w:rPr>
              <w:t>控制</w:t>
            </w:r>
          </w:p>
          <w:p>
            <w:pPr>
              <w:adjustRightInd w:val="0"/>
              <w:snapToGrid w:val="0"/>
              <w:jc w:val="center"/>
              <w:rPr>
                <w:rFonts w:ascii="宋体" w:hAnsi="宋体" w:cs="宋体"/>
                <w:kern w:val="0"/>
                <w:szCs w:val="21"/>
              </w:rPr>
            </w:pPr>
            <w:r>
              <w:rPr>
                <w:rFonts w:hint="eastAsia" w:ascii="宋体" w:hAnsi="宋体" w:cs="宋体"/>
                <w:kern w:val="0"/>
                <w:szCs w:val="21"/>
              </w:rPr>
              <w:t>指标</w:t>
            </w:r>
          </w:p>
        </w:tc>
        <w:tc>
          <w:tcPr>
            <w:tcW w:w="8190" w:type="dxa"/>
            <w:vAlign w:val="center"/>
          </w:tcPr>
          <w:p>
            <w:pPr>
              <w:spacing w:before="120" w:beforeLines="50" w:line="360" w:lineRule="auto"/>
              <w:ind w:firstLine="480" w:firstLineChars="200"/>
            </w:pPr>
            <w:r>
              <w:t>根据环境保护</w:t>
            </w:r>
            <w:r>
              <w:rPr>
                <w:rFonts w:hint="eastAsia"/>
              </w:rPr>
              <w:t>“</w:t>
            </w:r>
            <w:r>
              <w:t>十</w:t>
            </w:r>
            <w:r>
              <w:rPr>
                <w:rFonts w:hint="eastAsia"/>
              </w:rPr>
              <w:t>四</w:t>
            </w:r>
            <w:r>
              <w:t>五</w:t>
            </w:r>
            <w:r>
              <w:rPr>
                <w:rFonts w:hint="eastAsia"/>
              </w:rPr>
              <w:t>”</w:t>
            </w:r>
            <w:r>
              <w:t>总量控制的污染物种类，结合当地的环境质量现状及建设项目污染物排放特征，按照最大限度减少污染物排放量及区域污染物排放总量原则，项目实行总量控制的污染物为COD、氨氮、SO</w:t>
            </w:r>
            <w:r>
              <w:rPr>
                <w:vertAlign w:val="subscript"/>
              </w:rPr>
              <w:t>2</w:t>
            </w:r>
            <w:r>
              <w:t>、NO</w:t>
            </w:r>
            <w:r>
              <w:rPr>
                <w:vertAlign w:val="subscript"/>
              </w:rPr>
              <w:t>x</w:t>
            </w:r>
            <w:r>
              <w:rPr>
                <w:rFonts w:hint="eastAsia"/>
              </w:rPr>
              <w:t>、</w:t>
            </w:r>
            <w:r>
              <w:t>颗粒物。</w:t>
            </w:r>
          </w:p>
          <w:p>
            <w:pPr>
              <w:adjustRightInd w:val="0"/>
              <w:spacing w:line="360" w:lineRule="auto"/>
              <w:ind w:firstLine="480" w:firstLineChars="200"/>
              <w:rPr>
                <w:bCs/>
              </w:rPr>
            </w:pPr>
            <w:r>
              <w:rPr>
                <w:bCs/>
              </w:rPr>
              <w:t>项目污染物产生量为</w:t>
            </w:r>
            <w:r>
              <w:rPr>
                <w:rFonts w:hint="eastAsia"/>
                <w:bCs/>
              </w:rPr>
              <w:t>颗粒物</w:t>
            </w:r>
            <w:r>
              <w:rPr>
                <w:bCs/>
              </w:rPr>
              <w:t xml:space="preserve"> 4</w:t>
            </w:r>
            <w:r>
              <w:rPr>
                <w:rFonts w:hint="eastAsia"/>
                <w:bCs/>
              </w:rPr>
              <w:t>.</w:t>
            </w:r>
            <w:r>
              <w:rPr>
                <w:bCs/>
              </w:rPr>
              <w:t>1212</w:t>
            </w:r>
            <w:r>
              <w:rPr>
                <w:rFonts w:hint="eastAsia"/>
                <w:bCs/>
              </w:rPr>
              <w:t>t</w:t>
            </w:r>
            <w:r>
              <w:rPr>
                <w:bCs/>
              </w:rPr>
              <w:t>/a</w:t>
            </w:r>
            <w:r>
              <w:rPr>
                <w:rFonts w:hint="eastAsia"/>
                <w:bCs/>
              </w:rPr>
              <w:t>；VOCs</w:t>
            </w:r>
            <w:r>
              <w:rPr>
                <w:bCs/>
              </w:rPr>
              <w:t xml:space="preserve"> 0</w:t>
            </w:r>
            <w:r>
              <w:rPr>
                <w:rFonts w:hint="eastAsia"/>
                <w:bCs/>
              </w:rPr>
              <w:t>.</w:t>
            </w:r>
            <w:r>
              <w:rPr>
                <w:bCs/>
              </w:rPr>
              <w:t>6874t/a</w:t>
            </w:r>
            <w:r>
              <w:rPr>
                <w:rFonts w:hint="eastAsia"/>
                <w:bCs/>
              </w:rPr>
              <w:t>；</w:t>
            </w:r>
            <w:r>
              <w:rPr>
                <w:bCs/>
              </w:rPr>
              <w:t>本项目</w:t>
            </w:r>
            <w:r>
              <w:rPr>
                <w:rFonts w:hint="eastAsia"/>
                <w:bCs/>
              </w:rPr>
              <w:t>颗粒物、VOCs</w:t>
            </w:r>
            <w:r>
              <w:rPr>
                <w:bCs/>
              </w:rPr>
              <w:t>需执行2倍量替代原则，替代量为</w:t>
            </w:r>
            <w:r>
              <w:rPr>
                <w:rFonts w:hint="eastAsia"/>
                <w:bCs/>
              </w:rPr>
              <w:t>颗粒物</w:t>
            </w:r>
            <w:r>
              <w:rPr>
                <w:bCs/>
              </w:rPr>
              <w:t>8</w:t>
            </w:r>
            <w:r>
              <w:rPr>
                <w:rFonts w:hint="eastAsia"/>
                <w:bCs/>
              </w:rPr>
              <w:t>.</w:t>
            </w:r>
            <w:r>
              <w:rPr>
                <w:bCs/>
              </w:rPr>
              <w:t>2424</w:t>
            </w:r>
            <w:r>
              <w:rPr>
                <w:rFonts w:hint="eastAsia"/>
                <w:bCs/>
              </w:rPr>
              <w:t>t</w:t>
            </w:r>
            <w:r>
              <w:rPr>
                <w:bCs/>
              </w:rPr>
              <w:t>/a</w:t>
            </w:r>
            <w:r>
              <w:rPr>
                <w:rFonts w:hint="eastAsia"/>
                <w:bCs/>
              </w:rPr>
              <w:t>；VOCs</w:t>
            </w:r>
            <w:r>
              <w:rPr>
                <w:bCs/>
              </w:rPr>
              <w:t xml:space="preserve"> 1</w:t>
            </w:r>
            <w:r>
              <w:rPr>
                <w:rFonts w:hint="eastAsia"/>
                <w:bCs/>
              </w:rPr>
              <w:t>.</w:t>
            </w:r>
            <w:r>
              <w:rPr>
                <w:bCs/>
              </w:rPr>
              <w:t>3748t/a</w:t>
            </w:r>
            <w:r>
              <w:rPr>
                <w:rFonts w:hint="eastAsia"/>
                <w:bCs/>
              </w:rPr>
              <w:t>。</w:t>
            </w:r>
          </w:p>
          <w:p>
            <w:pPr>
              <w:adjustRightInd w:val="0"/>
              <w:spacing w:line="360" w:lineRule="auto"/>
              <w:ind w:firstLine="480" w:firstLineChars="200"/>
              <w:rPr>
                <w:bCs/>
              </w:rPr>
            </w:pPr>
            <w:r>
              <w:rPr>
                <w:rFonts w:hint="eastAsia"/>
                <w:bCs/>
              </w:rPr>
              <w:t>倍量替代来源</w:t>
            </w:r>
            <w:r>
              <w:rPr>
                <w:bCs/>
              </w:rPr>
              <w:t>通过所在区域内</w:t>
            </w:r>
            <w:r>
              <w:rPr>
                <w:rFonts w:hint="eastAsia"/>
                <w:bCs/>
              </w:rPr>
              <w:t>关停企业减排量中进行调剂。</w:t>
            </w:r>
          </w:p>
          <w:p>
            <w:pPr>
              <w:adjustRightInd w:val="0"/>
              <w:spacing w:line="360" w:lineRule="auto"/>
              <w:ind w:firstLine="480" w:firstLineChars="200"/>
              <w:rPr>
                <w:rFonts w:ascii="宋体" w:hAnsi="宋体" w:cs="宋体"/>
                <w:kern w:val="0"/>
                <w:szCs w:val="21"/>
              </w:rPr>
            </w:pPr>
          </w:p>
        </w:tc>
      </w:tr>
    </w:tbl>
    <w:p>
      <w:pPr>
        <w:pStyle w:val="44"/>
        <w:jc w:val="center"/>
        <w:outlineLvl w:val="0"/>
        <w:rPr>
          <w:rFonts w:ascii="黑体" w:hAnsi="黑体" w:eastAsia="黑体"/>
          <w:snapToGrid w:val="0"/>
          <w:sz w:val="30"/>
          <w:szCs w:val="30"/>
        </w:rPr>
      </w:pPr>
      <w:r>
        <w:rPr>
          <w:rFonts w:ascii="黑体" w:hAnsi="黑体" w:eastAsia="黑体"/>
          <w:snapToGrid w:val="0"/>
          <w:sz w:val="36"/>
          <w:szCs w:val="36"/>
        </w:rPr>
        <w:br w:type="page"/>
      </w:r>
      <w:bookmarkStart w:id="13" w:name="_Toc86785882"/>
      <w:r>
        <w:rPr>
          <w:rFonts w:hint="eastAsia" w:ascii="黑体" w:hAnsi="黑体" w:eastAsia="黑体"/>
          <w:snapToGrid w:val="0"/>
          <w:sz w:val="30"/>
          <w:szCs w:val="30"/>
        </w:rPr>
        <w:t>四、主要环境影响和保护措施</w:t>
      </w:r>
      <w:bookmarkEnd w:id="13"/>
    </w:p>
    <w:tbl>
      <w:tblPr>
        <w:tblStyle w:val="50"/>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8"/>
        <w:gridCol w:w="420"/>
        <w:gridCol w:w="38"/>
        <w:gridCol w:w="8412"/>
        <w:gridCol w:w="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835" w:hRule="atLeast"/>
          <w:jc w:val="center"/>
        </w:trPr>
        <w:tc>
          <w:tcPr>
            <w:tcW w:w="458" w:type="dxa"/>
            <w:gridSpan w:val="2"/>
            <w:tcMar>
              <w:left w:w="28" w:type="dxa"/>
              <w:right w:w="28" w:type="dxa"/>
            </w:tcMar>
            <w:vAlign w:val="center"/>
          </w:tcPr>
          <w:p>
            <w:pPr>
              <w:pStyle w:val="44"/>
              <w:adjustRightInd w:val="0"/>
              <w:snapToGrid w:val="0"/>
              <w:spacing w:before="0" w:beforeAutospacing="0" w:after="0" w:afterAutospacing="0"/>
              <w:ind w:left="6000"/>
              <w:jc w:val="center"/>
              <w:rPr>
                <w:rFonts w:cs="宋体"/>
                <w:kern w:val="2"/>
                <w:sz w:val="21"/>
                <w:szCs w:val="21"/>
              </w:rPr>
            </w:pPr>
            <w:r>
              <w:rPr>
                <w:rFonts w:hint="eastAsia" w:cs="宋体"/>
                <w:kern w:val="2"/>
                <w:sz w:val="21"/>
                <w:szCs w:val="21"/>
              </w:rPr>
              <w:t>施工</w:t>
            </w:r>
          </w:p>
          <w:p>
            <w:pPr>
              <w:pStyle w:val="44"/>
              <w:adjustRightInd w:val="0"/>
              <w:snapToGrid w:val="0"/>
              <w:spacing w:before="0" w:beforeAutospacing="0" w:after="0" w:afterAutospacing="0"/>
              <w:ind w:left="6000"/>
              <w:jc w:val="center"/>
              <w:rPr>
                <w:rFonts w:cs="宋体"/>
                <w:kern w:val="2"/>
                <w:sz w:val="21"/>
                <w:szCs w:val="21"/>
              </w:rPr>
            </w:pPr>
            <w:r>
              <w:rPr>
                <w:rFonts w:hint="eastAsia" w:cs="宋体"/>
                <w:kern w:val="2"/>
                <w:sz w:val="21"/>
                <w:szCs w:val="21"/>
              </w:rPr>
              <w:t>期环</w:t>
            </w:r>
          </w:p>
          <w:p>
            <w:pPr>
              <w:pStyle w:val="44"/>
              <w:adjustRightInd w:val="0"/>
              <w:snapToGrid w:val="0"/>
              <w:spacing w:before="0" w:beforeAutospacing="0" w:after="0" w:afterAutospacing="0"/>
              <w:ind w:left="6000"/>
              <w:jc w:val="center"/>
              <w:rPr>
                <w:rFonts w:cs="宋体"/>
                <w:kern w:val="2"/>
                <w:sz w:val="21"/>
                <w:szCs w:val="21"/>
              </w:rPr>
            </w:pPr>
            <w:r>
              <w:rPr>
                <w:rFonts w:hint="eastAsia" w:cs="宋体"/>
                <w:kern w:val="2"/>
                <w:sz w:val="21"/>
                <w:szCs w:val="21"/>
              </w:rPr>
              <w:t>境保</w:t>
            </w:r>
          </w:p>
          <w:p>
            <w:pPr>
              <w:pStyle w:val="44"/>
              <w:adjustRightInd w:val="0"/>
              <w:snapToGrid w:val="0"/>
              <w:spacing w:before="0" w:beforeAutospacing="0" w:after="0" w:afterAutospacing="0"/>
              <w:ind w:left="6000"/>
              <w:jc w:val="center"/>
              <w:rPr>
                <w:rFonts w:cs="宋体"/>
                <w:kern w:val="2"/>
                <w:sz w:val="21"/>
                <w:szCs w:val="21"/>
              </w:rPr>
            </w:pPr>
            <w:r>
              <w:rPr>
                <w:rFonts w:hint="eastAsia" w:cs="宋体"/>
                <w:kern w:val="2"/>
                <w:sz w:val="21"/>
                <w:szCs w:val="21"/>
              </w:rPr>
              <w:t>护措</w:t>
            </w:r>
          </w:p>
          <w:p>
            <w:pPr>
              <w:pStyle w:val="44"/>
              <w:adjustRightInd w:val="0"/>
              <w:snapToGrid w:val="0"/>
              <w:spacing w:before="0" w:beforeAutospacing="0" w:after="0" w:afterAutospacing="0"/>
              <w:ind w:left="6000"/>
              <w:jc w:val="center"/>
              <w:rPr>
                <w:rFonts w:cs="宋体"/>
                <w:bCs/>
                <w:kern w:val="2"/>
                <w:sz w:val="21"/>
                <w:szCs w:val="21"/>
              </w:rPr>
            </w:pPr>
            <w:r>
              <w:rPr>
                <w:rFonts w:hint="eastAsia" w:cs="宋体"/>
                <w:kern w:val="2"/>
                <w:sz w:val="21"/>
                <w:szCs w:val="21"/>
              </w:rPr>
              <w:t>施</w:t>
            </w:r>
          </w:p>
        </w:tc>
        <w:tc>
          <w:tcPr>
            <w:tcW w:w="8450" w:type="dxa"/>
            <w:gridSpan w:val="2"/>
            <w:vAlign w:val="center"/>
          </w:tcPr>
          <w:p>
            <w:pPr>
              <w:spacing w:before="120" w:beforeLines="50" w:line="360" w:lineRule="auto"/>
              <w:ind w:firstLine="480" w:firstLineChars="200"/>
            </w:pPr>
            <w:r>
              <w:rPr>
                <w:rFonts w:hint="eastAsia"/>
              </w:rPr>
              <w:t>施工期环境的影响主要表现为生态影响、废气、废水、噪声和固体废物。具体表现为施工扬尘、车辆尾气、建筑垃圾、施工机械噪声、施工人员和冲洗设备产生的废水等。</w:t>
            </w:r>
          </w:p>
          <w:p>
            <w:pPr>
              <w:spacing w:line="360" w:lineRule="auto"/>
              <w:ind w:firstLine="482" w:firstLineChars="200"/>
              <w:rPr>
                <w:b/>
              </w:rPr>
            </w:pPr>
            <w:r>
              <w:rPr>
                <w:rFonts w:hint="eastAsia"/>
                <w:b/>
              </w:rPr>
              <w:t>1、废气</w:t>
            </w:r>
          </w:p>
          <w:p>
            <w:pPr>
              <w:spacing w:line="360" w:lineRule="auto"/>
              <w:ind w:firstLine="480" w:firstLineChars="200"/>
            </w:pPr>
            <w:r>
              <w:t>施工期大气污染主要为设备基础建设、道路清扫、物料运输过程中等产生的扬尘、汽车尾气</w:t>
            </w:r>
            <w:r>
              <w:rPr>
                <w:rFonts w:hint="eastAsia"/>
              </w:rPr>
              <w:t>。</w:t>
            </w:r>
          </w:p>
          <w:p>
            <w:pPr>
              <w:spacing w:line="360" w:lineRule="auto"/>
              <w:ind w:firstLine="480" w:firstLineChars="200"/>
            </w:pPr>
            <w:r>
              <w:rPr>
                <w:rFonts w:hint="eastAsia"/>
              </w:rPr>
              <w:t>（1）扬尘</w:t>
            </w:r>
          </w:p>
          <w:p>
            <w:pPr>
              <w:spacing w:line="360" w:lineRule="auto"/>
              <w:ind w:firstLine="480" w:firstLineChars="200"/>
            </w:pPr>
            <w:r>
              <w:rPr>
                <w:rFonts w:hint="eastAsia"/>
              </w:rPr>
              <w:t>①施工扬尘</w:t>
            </w:r>
          </w:p>
          <w:p>
            <w:pPr>
              <w:spacing w:line="360" w:lineRule="auto"/>
              <w:ind w:firstLine="480" w:firstLineChars="200"/>
            </w:pPr>
            <w:r>
              <w:rPr>
                <w:rFonts w:hint="eastAsia"/>
              </w:rPr>
              <w:t>路基开挖、填方及灰土拌和产生的扬尘量与施工现场条件、机械化程度及施工天气等诸多因素有关，根据北京市环境保护科学研究院对建筑工程施工场地的扬尘情况测定：扬尘浓度随着与施工现场之间距离的增大，扬尘浓度逐渐降低。项目建设过程中施工扬尘可能会对上述敏感目标产生一定程度的扬尘影响。</w:t>
            </w:r>
          </w:p>
          <w:p>
            <w:pPr>
              <w:pStyle w:val="100"/>
            </w:pPr>
            <w:r>
              <w:rPr>
                <w:rFonts w:hint="eastAsia"/>
              </w:rPr>
              <w:t>表4-1  施工现场扬尘产生情况</w:t>
            </w:r>
          </w:p>
          <w:tbl>
            <w:tblPr>
              <w:tblStyle w:val="21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37"/>
              <w:gridCol w:w="994"/>
              <w:gridCol w:w="992"/>
              <w:gridCol w:w="1040"/>
              <w:gridCol w:w="992"/>
              <w:gridCol w:w="992"/>
              <w:gridCol w:w="9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237" w:type="dxa"/>
                  <w:vAlign w:val="center"/>
                </w:tcPr>
                <w:p>
                  <w:pPr>
                    <w:adjustRightInd w:val="0"/>
                    <w:snapToGrid w:val="0"/>
                    <w:spacing w:line="360" w:lineRule="auto"/>
                    <w:jc w:val="center"/>
                    <w:rPr>
                      <w:kern w:val="36"/>
                      <w:sz w:val="20"/>
                      <w:szCs w:val="21"/>
                    </w:rPr>
                  </w:pPr>
                  <w:r>
                    <w:rPr>
                      <w:rFonts w:hint="eastAsia"/>
                      <w:kern w:val="36"/>
                      <w:sz w:val="20"/>
                      <w:szCs w:val="21"/>
                    </w:rPr>
                    <w:t>与工地距离（m）</w:t>
                  </w:r>
                </w:p>
              </w:tc>
              <w:tc>
                <w:tcPr>
                  <w:tcW w:w="994" w:type="dxa"/>
                  <w:vAlign w:val="center"/>
                </w:tcPr>
                <w:p>
                  <w:pPr>
                    <w:adjustRightInd w:val="0"/>
                    <w:snapToGrid w:val="0"/>
                    <w:spacing w:line="360" w:lineRule="auto"/>
                    <w:jc w:val="center"/>
                    <w:rPr>
                      <w:kern w:val="36"/>
                      <w:sz w:val="20"/>
                      <w:szCs w:val="21"/>
                    </w:rPr>
                  </w:pPr>
                  <w:r>
                    <w:rPr>
                      <w:rFonts w:hint="eastAsia"/>
                      <w:kern w:val="36"/>
                      <w:sz w:val="20"/>
                      <w:szCs w:val="21"/>
                    </w:rPr>
                    <w:t>10</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20</w:t>
                  </w:r>
                </w:p>
              </w:tc>
              <w:tc>
                <w:tcPr>
                  <w:tcW w:w="1040" w:type="dxa"/>
                  <w:vAlign w:val="center"/>
                </w:tcPr>
                <w:p>
                  <w:pPr>
                    <w:adjustRightInd w:val="0"/>
                    <w:snapToGrid w:val="0"/>
                    <w:spacing w:line="360" w:lineRule="auto"/>
                    <w:jc w:val="center"/>
                    <w:rPr>
                      <w:kern w:val="36"/>
                      <w:sz w:val="20"/>
                      <w:szCs w:val="21"/>
                    </w:rPr>
                  </w:pPr>
                  <w:r>
                    <w:rPr>
                      <w:rFonts w:hint="eastAsia"/>
                      <w:kern w:val="36"/>
                      <w:sz w:val="20"/>
                      <w:szCs w:val="21"/>
                    </w:rPr>
                    <w:t>30</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40</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50</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237" w:type="dxa"/>
                  <w:vAlign w:val="center"/>
                </w:tcPr>
                <w:p>
                  <w:pPr>
                    <w:adjustRightInd w:val="0"/>
                    <w:snapToGrid w:val="0"/>
                    <w:spacing w:line="360" w:lineRule="auto"/>
                    <w:jc w:val="center"/>
                    <w:rPr>
                      <w:kern w:val="36"/>
                      <w:sz w:val="20"/>
                      <w:szCs w:val="21"/>
                    </w:rPr>
                  </w:pPr>
                  <w:r>
                    <w:rPr>
                      <w:rFonts w:hint="eastAsia"/>
                      <w:kern w:val="36"/>
                      <w:sz w:val="20"/>
                      <w:szCs w:val="21"/>
                    </w:rPr>
                    <w:t>未洒水时（mg/m</w:t>
                  </w:r>
                  <w:r>
                    <w:rPr>
                      <w:rFonts w:hint="eastAsia"/>
                      <w:kern w:val="36"/>
                      <w:sz w:val="20"/>
                      <w:szCs w:val="21"/>
                      <w:vertAlign w:val="superscript"/>
                    </w:rPr>
                    <w:t>3</w:t>
                  </w:r>
                  <w:r>
                    <w:rPr>
                      <w:rFonts w:hint="eastAsia"/>
                      <w:kern w:val="36"/>
                      <w:sz w:val="20"/>
                      <w:szCs w:val="21"/>
                    </w:rPr>
                    <w:t>）</w:t>
                  </w:r>
                </w:p>
              </w:tc>
              <w:tc>
                <w:tcPr>
                  <w:tcW w:w="994" w:type="dxa"/>
                  <w:vAlign w:val="center"/>
                </w:tcPr>
                <w:p>
                  <w:pPr>
                    <w:adjustRightInd w:val="0"/>
                    <w:snapToGrid w:val="0"/>
                    <w:spacing w:line="360" w:lineRule="auto"/>
                    <w:jc w:val="center"/>
                    <w:rPr>
                      <w:kern w:val="36"/>
                      <w:sz w:val="20"/>
                      <w:szCs w:val="21"/>
                    </w:rPr>
                  </w:pPr>
                  <w:r>
                    <w:rPr>
                      <w:rFonts w:hint="eastAsia"/>
                      <w:kern w:val="36"/>
                      <w:sz w:val="20"/>
                      <w:szCs w:val="21"/>
                    </w:rPr>
                    <w:t>1.75</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1.30</w:t>
                  </w:r>
                </w:p>
              </w:tc>
              <w:tc>
                <w:tcPr>
                  <w:tcW w:w="1040" w:type="dxa"/>
                  <w:vAlign w:val="center"/>
                </w:tcPr>
                <w:p>
                  <w:pPr>
                    <w:adjustRightInd w:val="0"/>
                    <w:snapToGrid w:val="0"/>
                    <w:spacing w:line="360" w:lineRule="auto"/>
                    <w:jc w:val="center"/>
                    <w:rPr>
                      <w:kern w:val="36"/>
                      <w:sz w:val="20"/>
                      <w:szCs w:val="21"/>
                    </w:rPr>
                  </w:pPr>
                  <w:r>
                    <w:rPr>
                      <w:rFonts w:hint="eastAsia"/>
                      <w:kern w:val="36"/>
                      <w:sz w:val="20"/>
                      <w:szCs w:val="21"/>
                    </w:rPr>
                    <w:t>0.78</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0.365</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0.345</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0.330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2237" w:type="dxa"/>
                  <w:vAlign w:val="center"/>
                </w:tcPr>
                <w:p>
                  <w:pPr>
                    <w:adjustRightInd w:val="0"/>
                    <w:snapToGrid w:val="0"/>
                    <w:spacing w:line="360" w:lineRule="auto"/>
                    <w:jc w:val="center"/>
                    <w:rPr>
                      <w:kern w:val="36"/>
                      <w:sz w:val="20"/>
                      <w:szCs w:val="21"/>
                    </w:rPr>
                  </w:pPr>
                  <w:r>
                    <w:rPr>
                      <w:rFonts w:hint="eastAsia"/>
                      <w:kern w:val="36"/>
                      <w:sz w:val="20"/>
                      <w:szCs w:val="21"/>
                    </w:rPr>
                    <w:t>洒水后（mg/m</w:t>
                  </w:r>
                  <w:r>
                    <w:rPr>
                      <w:rFonts w:hint="eastAsia"/>
                      <w:kern w:val="36"/>
                      <w:sz w:val="20"/>
                      <w:szCs w:val="21"/>
                      <w:vertAlign w:val="superscript"/>
                    </w:rPr>
                    <w:t>3</w:t>
                  </w:r>
                  <w:r>
                    <w:rPr>
                      <w:rFonts w:hint="eastAsia"/>
                      <w:kern w:val="36"/>
                      <w:sz w:val="20"/>
                      <w:szCs w:val="21"/>
                    </w:rPr>
                    <w:t>）</w:t>
                  </w:r>
                </w:p>
              </w:tc>
              <w:tc>
                <w:tcPr>
                  <w:tcW w:w="994" w:type="dxa"/>
                  <w:vAlign w:val="center"/>
                </w:tcPr>
                <w:p>
                  <w:pPr>
                    <w:adjustRightInd w:val="0"/>
                    <w:snapToGrid w:val="0"/>
                    <w:spacing w:line="360" w:lineRule="auto"/>
                    <w:jc w:val="center"/>
                    <w:rPr>
                      <w:kern w:val="36"/>
                      <w:sz w:val="20"/>
                      <w:szCs w:val="21"/>
                    </w:rPr>
                  </w:pPr>
                  <w:r>
                    <w:rPr>
                      <w:rFonts w:hint="eastAsia"/>
                      <w:kern w:val="36"/>
                      <w:sz w:val="20"/>
                      <w:szCs w:val="21"/>
                    </w:rPr>
                    <w:t>0.437</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0.350</w:t>
                  </w:r>
                </w:p>
              </w:tc>
              <w:tc>
                <w:tcPr>
                  <w:tcW w:w="1040" w:type="dxa"/>
                  <w:vAlign w:val="center"/>
                </w:tcPr>
                <w:p>
                  <w:pPr>
                    <w:adjustRightInd w:val="0"/>
                    <w:snapToGrid w:val="0"/>
                    <w:spacing w:line="360" w:lineRule="auto"/>
                    <w:jc w:val="center"/>
                    <w:rPr>
                      <w:kern w:val="36"/>
                      <w:sz w:val="20"/>
                      <w:szCs w:val="21"/>
                    </w:rPr>
                  </w:pPr>
                  <w:r>
                    <w:rPr>
                      <w:rFonts w:hint="eastAsia"/>
                      <w:kern w:val="36"/>
                      <w:sz w:val="20"/>
                      <w:szCs w:val="21"/>
                    </w:rPr>
                    <w:t>0.310</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0.265</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0.250</w:t>
                  </w:r>
                </w:p>
              </w:tc>
              <w:tc>
                <w:tcPr>
                  <w:tcW w:w="992" w:type="dxa"/>
                  <w:vAlign w:val="center"/>
                </w:tcPr>
                <w:p>
                  <w:pPr>
                    <w:adjustRightInd w:val="0"/>
                    <w:snapToGrid w:val="0"/>
                    <w:spacing w:line="360" w:lineRule="auto"/>
                    <w:jc w:val="center"/>
                    <w:rPr>
                      <w:kern w:val="36"/>
                      <w:sz w:val="20"/>
                      <w:szCs w:val="21"/>
                    </w:rPr>
                  </w:pPr>
                  <w:r>
                    <w:rPr>
                      <w:rFonts w:hint="eastAsia"/>
                      <w:kern w:val="36"/>
                      <w:sz w:val="20"/>
                      <w:szCs w:val="21"/>
                    </w:rPr>
                    <w:t>0.238</w:t>
                  </w:r>
                </w:p>
              </w:tc>
            </w:tr>
          </w:tbl>
          <w:p>
            <w:pPr>
              <w:spacing w:line="360" w:lineRule="auto"/>
              <w:ind w:firstLine="420" w:firstLineChars="200"/>
              <w:rPr>
                <w:sz w:val="21"/>
                <w:szCs w:val="21"/>
              </w:rPr>
            </w:pPr>
            <w:r>
              <w:rPr>
                <w:rFonts w:hint="eastAsia"/>
                <w:sz w:val="21"/>
                <w:szCs w:val="21"/>
              </w:rPr>
              <w:t>注:测定时风速为 2.4m/s</w:t>
            </w:r>
          </w:p>
          <w:p>
            <w:pPr>
              <w:spacing w:line="360" w:lineRule="auto"/>
              <w:ind w:firstLine="480" w:firstLineChars="200"/>
            </w:pPr>
            <w:r>
              <w:rPr>
                <w:rFonts w:hint="eastAsia"/>
              </w:rPr>
              <w:t>由上表可知，施工现场洒水可以明显降低施工场地及其周围大气环境中的扬尘。</w:t>
            </w:r>
          </w:p>
          <w:p>
            <w:pPr>
              <w:spacing w:line="360" w:lineRule="auto"/>
              <w:ind w:firstLine="480" w:firstLineChars="200"/>
            </w:pPr>
            <w:r>
              <w:rPr>
                <w:rFonts w:hint="eastAsia"/>
              </w:rPr>
              <w:t>为减少扬尘对周围环境的影响，建议施工采用封闭式施工管理，工地围挡，施工场地采取洒水、起尘物料用塑料布覆盖等措施，强化管理措施，随着本项目施工期的结束，施工扬尘影响随之消失。</w:t>
            </w:r>
          </w:p>
          <w:p>
            <w:pPr>
              <w:spacing w:line="360" w:lineRule="auto"/>
              <w:ind w:firstLine="480" w:firstLineChars="200"/>
            </w:pPr>
            <w:r>
              <w:rPr>
                <w:rFonts w:hint="eastAsia"/>
              </w:rPr>
              <w:t>②道路扬尘</w:t>
            </w:r>
          </w:p>
          <w:p>
            <w:pPr>
              <w:spacing w:line="360" w:lineRule="auto"/>
              <w:ind w:firstLine="480" w:firstLineChars="200"/>
            </w:pPr>
            <w:r>
              <w:rPr>
                <w:rFonts w:hint="eastAsia"/>
              </w:rPr>
              <w:t>施工过程中，车辆在行驶过程中会产生扬尘污染，在同样的路面条件下，车速越快，扬尘量越大；在同样的车速情况下，路面越脏，扬尘量越大。因此，限制车辆行驶速度以及保持路面的清洁是减少汽车扬尘的有效手段。</w:t>
            </w:r>
          </w:p>
          <w:p>
            <w:pPr>
              <w:spacing w:line="360" w:lineRule="auto"/>
              <w:ind w:firstLine="480" w:firstLineChars="200"/>
            </w:pPr>
            <w:r>
              <w:rPr>
                <w:rFonts w:hint="eastAsia"/>
              </w:rPr>
              <w:t>（2）尾气</w:t>
            </w:r>
          </w:p>
          <w:p>
            <w:pPr>
              <w:spacing w:line="360" w:lineRule="auto"/>
              <w:ind w:firstLine="480" w:firstLineChars="200"/>
            </w:pPr>
            <w:r>
              <w:rPr>
                <w:rFonts w:hint="eastAsia"/>
              </w:rPr>
              <w:t>施工现场运输车辆及大型机械施工均有燃烧烟气产生，主要污染物为 CO、NO</w:t>
            </w:r>
            <w:r>
              <w:rPr>
                <w:rFonts w:hint="eastAsia"/>
                <w:vertAlign w:val="subscript"/>
              </w:rPr>
              <w:t>2</w:t>
            </w:r>
            <w:r>
              <w:rPr>
                <w:rFonts w:hint="eastAsia"/>
              </w:rPr>
              <w:t>、THC 等。但由于施工具有间歇性、短期性和流动性的特点，燃烧烟气的产生量也较小。</w:t>
            </w:r>
          </w:p>
          <w:p>
            <w:pPr>
              <w:spacing w:line="360" w:lineRule="auto"/>
              <w:ind w:firstLine="480" w:firstLineChars="200"/>
            </w:pPr>
            <w:r>
              <w:rPr>
                <w:rFonts w:hint="eastAsia"/>
              </w:rPr>
              <w:t>同时，施工期间定期检修车辆及施工机械，保持良好的工作状态，减少废气排放，对环境的影响较小，随着施工期的结束而结束。</w:t>
            </w:r>
          </w:p>
          <w:p>
            <w:pPr>
              <w:spacing w:line="360" w:lineRule="auto"/>
              <w:ind w:firstLine="482" w:firstLineChars="200"/>
              <w:rPr>
                <w:b/>
              </w:rPr>
            </w:pPr>
            <w:r>
              <w:rPr>
                <w:rFonts w:hint="eastAsia"/>
                <w:b/>
              </w:rPr>
              <w:t>2、废水</w:t>
            </w:r>
          </w:p>
          <w:p>
            <w:pPr>
              <w:spacing w:line="360" w:lineRule="auto"/>
              <w:ind w:firstLine="480" w:firstLineChars="200"/>
            </w:pPr>
            <w:r>
              <w:rPr>
                <w:rFonts w:hint="eastAsia"/>
              </w:rPr>
              <w:t>施工期废水主要为施工营地的生活污水及施工场所产生的施工废水。</w:t>
            </w:r>
          </w:p>
          <w:p>
            <w:pPr>
              <w:spacing w:line="360" w:lineRule="auto"/>
              <w:ind w:firstLine="480" w:firstLineChars="200"/>
            </w:pPr>
            <w:r>
              <w:rPr>
                <w:rFonts w:hint="eastAsia"/>
              </w:rPr>
              <w:t>（1）生活污水</w:t>
            </w:r>
          </w:p>
          <w:p>
            <w:pPr>
              <w:spacing w:line="360" w:lineRule="auto"/>
              <w:ind w:firstLine="480" w:firstLineChars="200"/>
              <w:jc w:val="left"/>
            </w:pPr>
            <w:r>
              <w:rPr>
                <w:rFonts w:hint="eastAsia"/>
              </w:rPr>
              <w:t>根据项目建设规模，施工期间集中施工人员按</w:t>
            </w:r>
            <w:r>
              <w:t>1</w:t>
            </w:r>
            <w:r>
              <w:rPr>
                <w:rFonts w:hint="eastAsia"/>
              </w:rPr>
              <w:t>0人/d 计，不设食宿。施工期约</w:t>
            </w:r>
            <w:r>
              <w:t>1</w:t>
            </w:r>
            <w:r>
              <w:rPr>
                <w:rFonts w:hint="eastAsia"/>
              </w:rPr>
              <w:t>个月，用水量按 30L/人•d 计，则项目施工期施工人员生活用水量为0.</w:t>
            </w:r>
            <w:r>
              <w:t>3</w:t>
            </w:r>
            <w:r>
              <w:rPr>
                <w:rFonts w:hint="eastAsia"/>
              </w:rPr>
              <w:t>m</w:t>
            </w:r>
            <w:r>
              <w:rPr>
                <w:rFonts w:hint="eastAsia"/>
                <w:vertAlign w:val="superscript"/>
              </w:rPr>
              <w:t>3</w:t>
            </w:r>
            <w:r>
              <w:rPr>
                <w:rFonts w:hint="eastAsia"/>
              </w:rPr>
              <w:t>/d，合计施工期用水量为</w:t>
            </w:r>
            <w:r>
              <w:t>9</w:t>
            </w:r>
            <w:r>
              <w:rPr>
                <w:rFonts w:hint="eastAsia"/>
              </w:rPr>
              <w:t>m</w:t>
            </w:r>
            <w:r>
              <w:rPr>
                <w:rFonts w:hint="eastAsia"/>
                <w:vertAlign w:val="superscript"/>
              </w:rPr>
              <w:t>3</w:t>
            </w:r>
            <w:r>
              <w:rPr>
                <w:rFonts w:hint="eastAsia"/>
              </w:rPr>
              <w:t>。排污系数按8</w:t>
            </w:r>
            <w:r>
              <w:t>0</w:t>
            </w:r>
            <w:r>
              <w:rPr>
                <w:rFonts w:hint="eastAsia"/>
              </w:rPr>
              <w:t>%计，施工期生活污水产生量为0.</w:t>
            </w:r>
            <w:r>
              <w:t>24</w:t>
            </w:r>
            <w:r>
              <w:rPr>
                <w:rFonts w:hint="eastAsia"/>
              </w:rPr>
              <w:t>m</w:t>
            </w:r>
            <w:r>
              <w:rPr>
                <w:rFonts w:hint="eastAsia"/>
                <w:vertAlign w:val="superscript"/>
              </w:rPr>
              <w:t>3</w:t>
            </w:r>
            <w:r>
              <w:rPr>
                <w:rFonts w:hint="eastAsia"/>
              </w:rPr>
              <w:t xml:space="preserve"> /d，合计施工期污水总量为</w:t>
            </w:r>
            <w:r>
              <w:t>7</w:t>
            </w:r>
            <w:r>
              <w:rPr>
                <w:rFonts w:hint="eastAsia"/>
              </w:rPr>
              <w:t>.</w:t>
            </w:r>
            <w:r>
              <w:t>2</w:t>
            </w:r>
            <w:r>
              <w:rPr>
                <w:rFonts w:hint="eastAsia"/>
              </w:rPr>
              <w:t>m</w:t>
            </w:r>
            <w:r>
              <w:rPr>
                <w:rFonts w:hint="eastAsia"/>
                <w:vertAlign w:val="superscript"/>
              </w:rPr>
              <w:t>3</w:t>
            </w:r>
            <w:r>
              <w:rPr>
                <w:rFonts w:hint="eastAsia"/>
              </w:rPr>
              <w:t>，项目生活废水经化粪池预处理后排入市政管网。</w:t>
            </w:r>
          </w:p>
          <w:p>
            <w:pPr>
              <w:spacing w:line="360" w:lineRule="auto"/>
              <w:ind w:firstLine="480" w:firstLineChars="200"/>
              <w:jc w:val="left"/>
            </w:pPr>
            <w:r>
              <w:rPr>
                <w:rFonts w:hint="eastAsia"/>
              </w:rPr>
              <w:t>（2）生产废水</w:t>
            </w:r>
          </w:p>
          <w:p>
            <w:pPr>
              <w:spacing w:line="360" w:lineRule="auto"/>
              <w:ind w:firstLine="480" w:firstLineChars="200"/>
              <w:jc w:val="left"/>
            </w:pPr>
            <w:r>
              <w:rPr>
                <w:rFonts w:hint="eastAsia"/>
              </w:rPr>
              <w:t>施工场地生产废水主要是施工机械、运输车辆的冲洗废水，废水主要污染物为 SS，浓度可达到 3000~5000mg/L；经沉淀池沉淀后回用于地表喷洒抑尘，不外排。</w:t>
            </w:r>
          </w:p>
          <w:p>
            <w:pPr>
              <w:spacing w:line="360" w:lineRule="auto"/>
              <w:ind w:firstLine="482" w:firstLineChars="200"/>
              <w:rPr>
                <w:b/>
              </w:rPr>
            </w:pPr>
            <w:r>
              <w:rPr>
                <w:rFonts w:hint="eastAsia"/>
                <w:b/>
              </w:rPr>
              <w:t>3、噪声</w:t>
            </w:r>
          </w:p>
          <w:p>
            <w:pPr>
              <w:adjustRightInd w:val="0"/>
              <w:snapToGrid w:val="0"/>
              <w:spacing w:line="360" w:lineRule="auto"/>
              <w:ind w:firstLine="480" w:firstLineChars="200"/>
              <w:rPr>
                <w:lang w:val="en-GB"/>
              </w:rPr>
            </w:pPr>
            <w:r>
              <w:rPr>
                <w:lang w:val="en-GB" w:eastAsia="zh-TW"/>
              </w:rPr>
              <w:t>施工期施工噪声可分为机械噪声、施工作业噪声和施工车辆噪声。</w:t>
            </w:r>
            <w:r>
              <w:rPr>
                <w:lang w:val="en-GB"/>
              </w:rPr>
              <w:t>施工期的噪声影响是短期的，项目建成后，施工期噪声的影响也就此结束。</w:t>
            </w:r>
          </w:p>
          <w:p>
            <w:pPr>
              <w:adjustRightInd w:val="0"/>
              <w:snapToGrid w:val="0"/>
              <w:spacing w:line="360" w:lineRule="auto"/>
              <w:ind w:firstLine="480" w:firstLineChars="200"/>
              <w:rPr>
                <w:lang w:val="en-GB"/>
              </w:rPr>
            </w:pPr>
            <w:r>
              <w:rPr>
                <w:rFonts w:hint="eastAsia"/>
                <w:lang w:val="en-GB"/>
              </w:rPr>
              <w:t>项目施工期主要噪声设备见下表：</w:t>
            </w:r>
          </w:p>
          <w:p>
            <w:pPr>
              <w:pStyle w:val="100"/>
              <w:rPr>
                <w:lang w:val="en-GB"/>
              </w:rPr>
            </w:pPr>
            <w:r>
              <w:rPr>
                <w:rFonts w:hint="eastAsia"/>
                <w:lang w:val="en-GB"/>
              </w:rPr>
              <w:t xml:space="preserve">表 </w:t>
            </w:r>
            <w:r>
              <w:rPr>
                <w:lang w:val="en-GB"/>
              </w:rPr>
              <w:t>4</w:t>
            </w:r>
            <w:r>
              <w:rPr>
                <w:rFonts w:hint="eastAsia"/>
                <w:lang w:val="en-GB"/>
              </w:rPr>
              <w:t>-</w:t>
            </w:r>
            <w:r>
              <w:rPr>
                <w:lang w:val="en-GB"/>
              </w:rPr>
              <w:t>2</w:t>
            </w:r>
            <w:r>
              <w:rPr>
                <w:rFonts w:hint="eastAsia"/>
                <w:lang w:val="en-GB"/>
              </w:rPr>
              <w:t xml:space="preserve">  施工机械设备噪声值</w:t>
            </w:r>
          </w:p>
          <w:tbl>
            <w:tblPr>
              <w:tblStyle w:val="50"/>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96"/>
              <w:gridCol w:w="2976"/>
              <w:gridCol w:w="1801"/>
              <w:gridCol w:w="168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6" w:type="dxa"/>
                  <w:vAlign w:val="center"/>
                </w:tcPr>
                <w:p>
                  <w:pPr>
                    <w:pStyle w:val="215"/>
                    <w:rPr>
                      <w:b/>
                      <w:bCs w:val="0"/>
                      <w:lang w:val="en-GB" w:eastAsia="zh-TW"/>
                    </w:rPr>
                  </w:pPr>
                  <w:r>
                    <w:rPr>
                      <w:b/>
                      <w:bCs w:val="0"/>
                      <w:lang w:val="en-GB" w:eastAsia="zh-TW"/>
                    </w:rPr>
                    <w:t>序号</w:t>
                  </w:r>
                </w:p>
              </w:tc>
              <w:tc>
                <w:tcPr>
                  <w:tcW w:w="2976" w:type="dxa"/>
                  <w:vAlign w:val="center"/>
                </w:tcPr>
                <w:p>
                  <w:pPr>
                    <w:pStyle w:val="215"/>
                    <w:rPr>
                      <w:b/>
                      <w:bCs w:val="0"/>
                      <w:lang w:val="en-GB" w:eastAsia="zh-TW"/>
                    </w:rPr>
                  </w:pPr>
                  <w:r>
                    <w:rPr>
                      <w:b/>
                      <w:bCs w:val="0"/>
                      <w:lang w:val="en-GB" w:eastAsia="zh-TW"/>
                    </w:rPr>
                    <w:t>施工机械、运输车辆名称</w:t>
                  </w:r>
                </w:p>
              </w:tc>
              <w:tc>
                <w:tcPr>
                  <w:tcW w:w="1801" w:type="dxa"/>
                  <w:vAlign w:val="center"/>
                </w:tcPr>
                <w:p>
                  <w:pPr>
                    <w:pStyle w:val="215"/>
                    <w:rPr>
                      <w:b/>
                      <w:bCs w:val="0"/>
                      <w:lang w:val="en-GB" w:eastAsia="zh-TW"/>
                    </w:rPr>
                  </w:pPr>
                  <w:r>
                    <w:rPr>
                      <w:b/>
                      <w:bCs w:val="0"/>
                      <w:lang w:val="en-GB" w:eastAsia="zh-TW"/>
                    </w:rPr>
                    <w:t>噪声级dB（A）</w:t>
                  </w:r>
                </w:p>
              </w:tc>
              <w:tc>
                <w:tcPr>
                  <w:tcW w:w="1682" w:type="dxa"/>
                  <w:vAlign w:val="center"/>
                </w:tcPr>
                <w:p>
                  <w:pPr>
                    <w:pStyle w:val="215"/>
                    <w:rPr>
                      <w:b/>
                      <w:bCs w:val="0"/>
                      <w:lang w:val="en-GB"/>
                    </w:rPr>
                  </w:pPr>
                  <w:r>
                    <w:rPr>
                      <w:b/>
                      <w:bCs w:val="0"/>
                      <w:lang w:val="en-GB"/>
                    </w:rPr>
                    <w:t>5m处噪声级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6" w:type="dxa"/>
                  <w:vAlign w:val="center"/>
                </w:tcPr>
                <w:p>
                  <w:pPr>
                    <w:pStyle w:val="215"/>
                    <w:rPr>
                      <w:lang w:val="en-GB"/>
                    </w:rPr>
                  </w:pPr>
                  <w:r>
                    <w:rPr>
                      <w:lang w:val="en-GB"/>
                    </w:rPr>
                    <w:t>1</w:t>
                  </w:r>
                </w:p>
              </w:tc>
              <w:tc>
                <w:tcPr>
                  <w:tcW w:w="2976" w:type="dxa"/>
                  <w:vAlign w:val="center"/>
                </w:tcPr>
                <w:p>
                  <w:pPr>
                    <w:pStyle w:val="215"/>
                    <w:rPr>
                      <w:lang w:val="en-GB"/>
                    </w:rPr>
                  </w:pPr>
                  <w:r>
                    <w:rPr>
                      <w:lang w:val="en-GB"/>
                    </w:rPr>
                    <w:t>拆卸机械</w:t>
                  </w:r>
                </w:p>
              </w:tc>
              <w:tc>
                <w:tcPr>
                  <w:tcW w:w="1801" w:type="dxa"/>
                  <w:vAlign w:val="center"/>
                </w:tcPr>
                <w:p>
                  <w:pPr>
                    <w:pStyle w:val="215"/>
                    <w:rPr>
                      <w:lang w:val="en-GB"/>
                    </w:rPr>
                  </w:pPr>
                  <w:r>
                    <w:rPr>
                      <w:lang w:val="en-GB"/>
                    </w:rPr>
                    <w:t>90</w:t>
                  </w:r>
                </w:p>
              </w:tc>
              <w:tc>
                <w:tcPr>
                  <w:tcW w:w="1682" w:type="dxa"/>
                  <w:vAlign w:val="center"/>
                </w:tcPr>
                <w:p>
                  <w:pPr>
                    <w:pStyle w:val="215"/>
                    <w:rPr>
                      <w:lang w:val="en-GB"/>
                    </w:rPr>
                  </w:pPr>
                  <w:r>
                    <w:rPr>
                      <w:lang w:val="en-GB"/>
                    </w:rPr>
                    <w:t>76.1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6" w:type="dxa"/>
                  <w:vAlign w:val="center"/>
                </w:tcPr>
                <w:p>
                  <w:pPr>
                    <w:pStyle w:val="215"/>
                    <w:rPr>
                      <w:lang w:val="en-GB"/>
                    </w:rPr>
                  </w:pPr>
                  <w:r>
                    <w:rPr>
                      <w:lang w:val="en-GB"/>
                    </w:rPr>
                    <w:t>2</w:t>
                  </w:r>
                </w:p>
              </w:tc>
              <w:tc>
                <w:tcPr>
                  <w:tcW w:w="2976" w:type="dxa"/>
                  <w:vAlign w:val="center"/>
                </w:tcPr>
                <w:p>
                  <w:pPr>
                    <w:pStyle w:val="215"/>
                    <w:rPr>
                      <w:lang w:val="en-GB" w:eastAsia="zh-TW"/>
                    </w:rPr>
                  </w:pPr>
                  <w:r>
                    <w:rPr>
                      <w:lang w:val="en-GB" w:eastAsia="zh-TW"/>
                    </w:rPr>
                    <w:t>挖掘机</w:t>
                  </w:r>
                </w:p>
              </w:tc>
              <w:tc>
                <w:tcPr>
                  <w:tcW w:w="1801" w:type="dxa"/>
                  <w:vAlign w:val="center"/>
                </w:tcPr>
                <w:p>
                  <w:pPr>
                    <w:pStyle w:val="215"/>
                    <w:rPr>
                      <w:lang w:val="en-GB" w:eastAsia="zh-TW"/>
                    </w:rPr>
                  </w:pPr>
                  <w:r>
                    <w:rPr>
                      <w:lang w:val="en-GB" w:eastAsia="zh-TW"/>
                    </w:rPr>
                    <w:t>94</w:t>
                  </w:r>
                </w:p>
              </w:tc>
              <w:tc>
                <w:tcPr>
                  <w:tcW w:w="1682" w:type="dxa"/>
                  <w:vAlign w:val="center"/>
                </w:tcPr>
                <w:p>
                  <w:pPr>
                    <w:pStyle w:val="215"/>
                    <w:rPr>
                      <w:lang w:val="en-GB"/>
                    </w:rPr>
                  </w:pPr>
                  <w:r>
                    <w:rPr>
                      <w:lang w:val="en-GB"/>
                    </w:rPr>
                    <w:t>80.1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6" w:type="dxa"/>
                  <w:vAlign w:val="center"/>
                </w:tcPr>
                <w:p>
                  <w:pPr>
                    <w:pStyle w:val="215"/>
                    <w:rPr>
                      <w:lang w:val="en-GB"/>
                    </w:rPr>
                  </w:pPr>
                  <w:r>
                    <w:rPr>
                      <w:lang w:val="en-GB"/>
                    </w:rPr>
                    <w:t>3</w:t>
                  </w:r>
                </w:p>
              </w:tc>
              <w:tc>
                <w:tcPr>
                  <w:tcW w:w="2976" w:type="dxa"/>
                  <w:vAlign w:val="center"/>
                </w:tcPr>
                <w:p>
                  <w:pPr>
                    <w:pStyle w:val="215"/>
                    <w:rPr>
                      <w:lang w:val="en-GB" w:eastAsia="zh-TW"/>
                    </w:rPr>
                  </w:pPr>
                  <w:r>
                    <w:rPr>
                      <w:lang w:val="en-GB" w:eastAsia="zh-TW"/>
                    </w:rPr>
                    <w:t>自卸汽车</w:t>
                  </w:r>
                </w:p>
              </w:tc>
              <w:tc>
                <w:tcPr>
                  <w:tcW w:w="1801" w:type="dxa"/>
                  <w:vAlign w:val="center"/>
                </w:tcPr>
                <w:p>
                  <w:pPr>
                    <w:pStyle w:val="215"/>
                    <w:rPr>
                      <w:lang w:val="en-GB" w:eastAsia="zh-TW"/>
                    </w:rPr>
                  </w:pPr>
                  <w:r>
                    <w:rPr>
                      <w:lang w:val="en-GB" w:eastAsia="zh-TW"/>
                    </w:rPr>
                    <w:t>84</w:t>
                  </w:r>
                </w:p>
              </w:tc>
              <w:tc>
                <w:tcPr>
                  <w:tcW w:w="1682" w:type="dxa"/>
                  <w:vAlign w:val="center"/>
                </w:tcPr>
                <w:p>
                  <w:pPr>
                    <w:pStyle w:val="215"/>
                    <w:rPr>
                      <w:lang w:val="en-GB"/>
                    </w:rPr>
                  </w:pPr>
                  <w:r>
                    <w:rPr>
                      <w:lang w:val="en-GB"/>
                    </w:rPr>
                    <w:t>70.1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1496" w:type="dxa"/>
                  <w:vAlign w:val="center"/>
                </w:tcPr>
                <w:p>
                  <w:pPr>
                    <w:pStyle w:val="215"/>
                    <w:rPr>
                      <w:lang w:val="en-GB"/>
                    </w:rPr>
                  </w:pPr>
                  <w:r>
                    <w:rPr>
                      <w:lang w:val="en-GB"/>
                    </w:rPr>
                    <w:t>4</w:t>
                  </w:r>
                </w:p>
              </w:tc>
              <w:tc>
                <w:tcPr>
                  <w:tcW w:w="2976" w:type="dxa"/>
                  <w:vAlign w:val="center"/>
                </w:tcPr>
                <w:p>
                  <w:pPr>
                    <w:pStyle w:val="215"/>
                    <w:rPr>
                      <w:lang w:val="en-GB" w:eastAsia="zh-TW"/>
                    </w:rPr>
                  </w:pPr>
                  <w:r>
                    <w:rPr>
                      <w:lang w:val="en-GB" w:eastAsia="zh-TW"/>
                    </w:rPr>
                    <w:t>载重卡车</w:t>
                  </w:r>
                </w:p>
              </w:tc>
              <w:tc>
                <w:tcPr>
                  <w:tcW w:w="1801" w:type="dxa"/>
                  <w:vAlign w:val="center"/>
                </w:tcPr>
                <w:p>
                  <w:pPr>
                    <w:pStyle w:val="215"/>
                    <w:rPr>
                      <w:lang w:val="en-GB" w:eastAsia="zh-TW"/>
                    </w:rPr>
                  </w:pPr>
                  <w:r>
                    <w:rPr>
                      <w:lang w:val="en-GB" w:eastAsia="zh-TW"/>
                    </w:rPr>
                    <w:t>88</w:t>
                  </w:r>
                </w:p>
              </w:tc>
              <w:tc>
                <w:tcPr>
                  <w:tcW w:w="1682" w:type="dxa"/>
                  <w:vAlign w:val="center"/>
                </w:tcPr>
                <w:p>
                  <w:pPr>
                    <w:pStyle w:val="215"/>
                    <w:rPr>
                      <w:lang w:val="en-GB"/>
                    </w:rPr>
                  </w:pPr>
                  <w:r>
                    <w:rPr>
                      <w:lang w:val="en-GB"/>
                    </w:rPr>
                    <w:t>74.1</w:t>
                  </w:r>
                </w:p>
              </w:tc>
            </w:tr>
          </w:tbl>
          <w:p>
            <w:pPr>
              <w:adjustRightInd w:val="0"/>
              <w:snapToGrid w:val="0"/>
              <w:spacing w:line="360" w:lineRule="auto"/>
              <w:ind w:firstLine="480" w:firstLineChars="200"/>
              <w:rPr>
                <w:lang w:val="en-GB"/>
              </w:rPr>
            </w:pPr>
            <w:r>
              <w:rPr>
                <w:rFonts w:hint="eastAsia"/>
                <w:lang w:val="en-GB"/>
              </w:rPr>
              <w:t>在施工过程中，这些施工机械又往往是同时作业，噪声源辐射量的相互叠加，声级值将更高，辐射范围也更大。施工噪声对周边声环境的影响，采用《建筑施工场界环境噪声排放标准》（GB12523-2011）进行评价。</w:t>
            </w:r>
          </w:p>
          <w:p>
            <w:pPr>
              <w:adjustRightInd w:val="0"/>
              <w:snapToGrid w:val="0"/>
              <w:spacing w:line="360" w:lineRule="auto"/>
              <w:ind w:firstLine="480" w:firstLineChars="200"/>
              <w:rPr>
                <w:lang w:val="en-GB"/>
              </w:rPr>
            </w:pPr>
            <w:r>
              <w:rPr>
                <w:rFonts w:hint="eastAsia"/>
                <w:lang w:val="en-GB"/>
              </w:rPr>
              <w:t>施工噪声可视为点声源处理，根据点声源噪声衰减模式，估算出离声源不同距离处的噪声值，预测模式如下：</w:t>
            </w:r>
          </w:p>
          <w:p>
            <w:pPr>
              <w:adjustRightInd w:val="0"/>
              <w:snapToGrid w:val="0"/>
              <w:spacing w:line="360" w:lineRule="auto"/>
              <w:ind w:firstLine="480" w:firstLineChars="200"/>
              <w:jc w:val="left"/>
              <w:rPr>
                <w:lang w:val="en-GB"/>
              </w:rPr>
            </w:pPr>
            <w:r>
              <w:rPr>
                <w:rFonts w:ascii="宋体" w:hAnsi="宋体" w:cs="宋体"/>
                <w:kern w:val="0"/>
              </w:rPr>
              <w:drawing>
                <wp:inline distT="0" distB="0" distL="0" distR="0">
                  <wp:extent cx="3305175" cy="10325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363600" cy="1050904"/>
                          </a:xfrm>
                          <a:prstGeom prst="rect">
                            <a:avLst/>
                          </a:prstGeom>
                          <a:noFill/>
                          <a:ln>
                            <a:noFill/>
                          </a:ln>
                        </pic:spPr>
                      </pic:pic>
                    </a:graphicData>
                  </a:graphic>
                </wp:inline>
              </w:drawing>
            </w:r>
          </w:p>
          <w:p>
            <w:pPr>
              <w:adjustRightInd w:val="0"/>
              <w:snapToGrid w:val="0"/>
              <w:spacing w:line="360" w:lineRule="auto"/>
              <w:ind w:firstLine="480" w:firstLineChars="200"/>
              <w:rPr>
                <w:lang w:val="en-GB"/>
              </w:rPr>
            </w:pPr>
            <w:r>
              <w:rPr>
                <w:rFonts w:hint="eastAsia"/>
                <w:lang w:val="en-GB"/>
              </w:rPr>
              <w:t>根据上式进行计算，各种施工机械在不同距离处的噪声预测值结果详见表</w:t>
            </w:r>
            <w:r>
              <w:rPr>
                <w:lang w:val="en-GB"/>
              </w:rPr>
              <w:t>4</w:t>
            </w:r>
            <w:r>
              <w:rPr>
                <w:rFonts w:hint="eastAsia"/>
                <w:lang w:val="en-GB"/>
              </w:rPr>
              <w:t>-</w:t>
            </w:r>
            <w:r>
              <w:rPr>
                <w:lang w:val="en-GB"/>
              </w:rPr>
              <w:t>3</w:t>
            </w:r>
            <w:r>
              <w:rPr>
                <w:rFonts w:hint="eastAsia"/>
                <w:lang w:val="en-GB"/>
              </w:rPr>
              <w:t>。</w:t>
            </w:r>
          </w:p>
          <w:p>
            <w:pPr>
              <w:pStyle w:val="100"/>
              <w:spacing w:before="60" w:after="60"/>
              <w:rPr>
                <w:lang w:val="en-GB"/>
              </w:rPr>
            </w:pPr>
            <w:r>
              <w:rPr>
                <w:lang w:val="en-GB"/>
              </w:rPr>
              <w:t>表4-3  主要施工机械不同距离处的噪声级 单位：dB（A）</w:t>
            </w:r>
          </w:p>
          <w:tbl>
            <w:tblPr>
              <w:tblStyle w:val="185"/>
              <w:tblW w:w="807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1409"/>
              <w:gridCol w:w="1443"/>
              <w:gridCol w:w="1604"/>
              <w:gridCol w:w="160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017" w:type="dxa"/>
                  <w:vAlign w:val="center"/>
                </w:tcPr>
                <w:p>
                  <w:pPr>
                    <w:pStyle w:val="215"/>
                    <w:rPr>
                      <w:b/>
                      <w:bCs w:val="0"/>
                    </w:rPr>
                  </w:pPr>
                  <w:r>
                    <w:rPr>
                      <w:b/>
                      <w:bCs w:val="0"/>
                    </w:rPr>
                    <w:t>机械名称</w:t>
                  </w:r>
                </w:p>
              </w:tc>
              <w:tc>
                <w:tcPr>
                  <w:tcW w:w="1409" w:type="dxa"/>
                  <w:vAlign w:val="center"/>
                </w:tcPr>
                <w:p>
                  <w:pPr>
                    <w:pStyle w:val="215"/>
                    <w:rPr>
                      <w:b/>
                      <w:bCs w:val="0"/>
                    </w:rPr>
                  </w:pPr>
                  <w:r>
                    <w:rPr>
                      <w:b/>
                      <w:bCs w:val="0"/>
                    </w:rPr>
                    <w:t>5m</w:t>
                  </w:r>
                </w:p>
              </w:tc>
              <w:tc>
                <w:tcPr>
                  <w:tcW w:w="1443" w:type="dxa"/>
                  <w:vAlign w:val="center"/>
                </w:tcPr>
                <w:p>
                  <w:pPr>
                    <w:pStyle w:val="215"/>
                    <w:rPr>
                      <w:b/>
                      <w:bCs w:val="0"/>
                    </w:rPr>
                  </w:pPr>
                  <w:r>
                    <w:rPr>
                      <w:b/>
                      <w:bCs w:val="0"/>
                    </w:rPr>
                    <w:t>10m</w:t>
                  </w:r>
                </w:p>
              </w:tc>
              <w:tc>
                <w:tcPr>
                  <w:tcW w:w="1604" w:type="dxa"/>
                  <w:vAlign w:val="center"/>
                </w:tcPr>
                <w:p>
                  <w:pPr>
                    <w:pStyle w:val="215"/>
                    <w:rPr>
                      <w:b/>
                      <w:bCs w:val="0"/>
                    </w:rPr>
                  </w:pPr>
                  <w:r>
                    <w:rPr>
                      <w:b/>
                      <w:bCs w:val="0"/>
                    </w:rPr>
                    <w:t>20m</w:t>
                  </w:r>
                </w:p>
              </w:tc>
              <w:tc>
                <w:tcPr>
                  <w:tcW w:w="1606" w:type="dxa"/>
                  <w:vAlign w:val="center"/>
                </w:tcPr>
                <w:p>
                  <w:pPr>
                    <w:pStyle w:val="215"/>
                    <w:rPr>
                      <w:b/>
                      <w:bCs w:val="0"/>
                    </w:rPr>
                  </w:pPr>
                  <w:r>
                    <w:rPr>
                      <w:b/>
                      <w:bCs w:val="0"/>
                    </w:rPr>
                    <w:t>40m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017" w:type="dxa"/>
                  <w:vAlign w:val="center"/>
                </w:tcPr>
                <w:p>
                  <w:pPr>
                    <w:pStyle w:val="215"/>
                    <w:rPr>
                      <w:lang w:val="en-GB" w:eastAsia="zh-TW"/>
                    </w:rPr>
                  </w:pPr>
                  <w:r>
                    <w:rPr>
                      <w:lang w:val="en-GB"/>
                    </w:rPr>
                    <w:t>拆卸机械</w:t>
                  </w:r>
                </w:p>
              </w:tc>
              <w:tc>
                <w:tcPr>
                  <w:tcW w:w="1409" w:type="dxa"/>
                  <w:vAlign w:val="center"/>
                </w:tcPr>
                <w:p>
                  <w:pPr>
                    <w:pStyle w:val="215"/>
                    <w:rPr>
                      <w:lang w:val="en-GB"/>
                    </w:rPr>
                  </w:pPr>
                  <w:r>
                    <w:rPr>
                      <w:lang w:val="en-GB"/>
                    </w:rPr>
                    <w:t>76.1</w:t>
                  </w:r>
                </w:p>
              </w:tc>
              <w:tc>
                <w:tcPr>
                  <w:tcW w:w="1443" w:type="dxa"/>
                  <w:vAlign w:val="center"/>
                </w:tcPr>
                <w:p>
                  <w:pPr>
                    <w:pStyle w:val="215"/>
                  </w:pPr>
                  <w:r>
                    <w:t>70</w:t>
                  </w:r>
                </w:p>
              </w:tc>
              <w:tc>
                <w:tcPr>
                  <w:tcW w:w="1604" w:type="dxa"/>
                  <w:vAlign w:val="center"/>
                </w:tcPr>
                <w:p>
                  <w:pPr>
                    <w:pStyle w:val="215"/>
                  </w:pPr>
                  <w:r>
                    <w:t>63.9</w:t>
                  </w:r>
                </w:p>
              </w:tc>
              <w:tc>
                <w:tcPr>
                  <w:tcW w:w="1606" w:type="dxa"/>
                  <w:vAlign w:val="center"/>
                </w:tcPr>
                <w:p>
                  <w:pPr>
                    <w:pStyle w:val="215"/>
                  </w:pPr>
                  <w:r>
                    <w:t>57.9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2017" w:type="dxa"/>
                  <w:vAlign w:val="center"/>
                </w:tcPr>
                <w:p>
                  <w:pPr>
                    <w:pStyle w:val="215"/>
                    <w:rPr>
                      <w:lang w:val="en-GB" w:eastAsia="zh-TW"/>
                    </w:rPr>
                  </w:pPr>
                  <w:r>
                    <w:rPr>
                      <w:lang w:val="en-GB" w:eastAsia="zh-TW"/>
                    </w:rPr>
                    <w:t>挖掘机</w:t>
                  </w:r>
                </w:p>
              </w:tc>
              <w:tc>
                <w:tcPr>
                  <w:tcW w:w="1409" w:type="dxa"/>
                  <w:vAlign w:val="center"/>
                </w:tcPr>
                <w:p>
                  <w:pPr>
                    <w:pStyle w:val="215"/>
                    <w:rPr>
                      <w:lang w:val="en-GB"/>
                    </w:rPr>
                  </w:pPr>
                  <w:r>
                    <w:rPr>
                      <w:lang w:val="en-GB"/>
                    </w:rPr>
                    <w:t>80.1</w:t>
                  </w:r>
                </w:p>
              </w:tc>
              <w:tc>
                <w:tcPr>
                  <w:tcW w:w="1443" w:type="dxa"/>
                  <w:vAlign w:val="center"/>
                </w:tcPr>
                <w:p>
                  <w:pPr>
                    <w:pStyle w:val="215"/>
                  </w:pPr>
                  <w:r>
                    <w:t>74</w:t>
                  </w:r>
                </w:p>
              </w:tc>
              <w:tc>
                <w:tcPr>
                  <w:tcW w:w="1604" w:type="dxa"/>
                  <w:vAlign w:val="center"/>
                </w:tcPr>
                <w:p>
                  <w:pPr>
                    <w:pStyle w:val="215"/>
                  </w:pPr>
                  <w:r>
                    <w:t>67.9</w:t>
                  </w:r>
                </w:p>
              </w:tc>
              <w:tc>
                <w:tcPr>
                  <w:tcW w:w="1606" w:type="dxa"/>
                  <w:vAlign w:val="center"/>
                </w:tcPr>
                <w:p>
                  <w:pPr>
                    <w:pStyle w:val="215"/>
                  </w:pPr>
                  <w:r>
                    <w:t>61.9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017" w:type="dxa"/>
                  <w:vAlign w:val="center"/>
                </w:tcPr>
                <w:p>
                  <w:pPr>
                    <w:pStyle w:val="215"/>
                    <w:rPr>
                      <w:lang w:val="en-GB" w:eastAsia="zh-TW"/>
                    </w:rPr>
                  </w:pPr>
                  <w:r>
                    <w:rPr>
                      <w:lang w:val="en-GB" w:eastAsia="zh-TW"/>
                    </w:rPr>
                    <w:t>自卸汽车</w:t>
                  </w:r>
                </w:p>
              </w:tc>
              <w:tc>
                <w:tcPr>
                  <w:tcW w:w="1409" w:type="dxa"/>
                  <w:vAlign w:val="center"/>
                </w:tcPr>
                <w:p>
                  <w:pPr>
                    <w:pStyle w:val="215"/>
                    <w:rPr>
                      <w:lang w:val="en-GB"/>
                    </w:rPr>
                  </w:pPr>
                  <w:r>
                    <w:rPr>
                      <w:lang w:val="en-GB"/>
                    </w:rPr>
                    <w:t>70.1</w:t>
                  </w:r>
                </w:p>
              </w:tc>
              <w:tc>
                <w:tcPr>
                  <w:tcW w:w="1443" w:type="dxa"/>
                  <w:vAlign w:val="center"/>
                </w:tcPr>
                <w:p>
                  <w:pPr>
                    <w:pStyle w:val="215"/>
                  </w:pPr>
                  <w:r>
                    <w:t>64</w:t>
                  </w:r>
                </w:p>
              </w:tc>
              <w:tc>
                <w:tcPr>
                  <w:tcW w:w="1604" w:type="dxa"/>
                  <w:vAlign w:val="center"/>
                </w:tcPr>
                <w:p>
                  <w:pPr>
                    <w:pStyle w:val="215"/>
                  </w:pPr>
                  <w:r>
                    <w:t>57.9</w:t>
                  </w:r>
                </w:p>
              </w:tc>
              <w:tc>
                <w:tcPr>
                  <w:tcW w:w="1606" w:type="dxa"/>
                  <w:vAlign w:val="center"/>
                </w:tcPr>
                <w:p>
                  <w:pPr>
                    <w:pStyle w:val="215"/>
                  </w:pPr>
                  <w:r>
                    <w:t>51.9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2017" w:type="dxa"/>
                  <w:vAlign w:val="center"/>
                </w:tcPr>
                <w:p>
                  <w:pPr>
                    <w:pStyle w:val="215"/>
                    <w:rPr>
                      <w:lang w:val="en-GB" w:eastAsia="zh-TW"/>
                    </w:rPr>
                  </w:pPr>
                  <w:r>
                    <w:rPr>
                      <w:lang w:val="en-GB" w:eastAsia="zh-TW"/>
                    </w:rPr>
                    <w:t>载重卡车</w:t>
                  </w:r>
                </w:p>
              </w:tc>
              <w:tc>
                <w:tcPr>
                  <w:tcW w:w="1409" w:type="dxa"/>
                  <w:vAlign w:val="center"/>
                </w:tcPr>
                <w:p>
                  <w:pPr>
                    <w:pStyle w:val="215"/>
                    <w:rPr>
                      <w:lang w:val="en-GB"/>
                    </w:rPr>
                  </w:pPr>
                  <w:r>
                    <w:rPr>
                      <w:lang w:val="en-GB"/>
                    </w:rPr>
                    <w:t>74.1</w:t>
                  </w:r>
                </w:p>
              </w:tc>
              <w:tc>
                <w:tcPr>
                  <w:tcW w:w="1443" w:type="dxa"/>
                  <w:vAlign w:val="center"/>
                </w:tcPr>
                <w:p>
                  <w:pPr>
                    <w:pStyle w:val="215"/>
                  </w:pPr>
                  <w:r>
                    <w:t>68</w:t>
                  </w:r>
                </w:p>
              </w:tc>
              <w:tc>
                <w:tcPr>
                  <w:tcW w:w="1604" w:type="dxa"/>
                  <w:vAlign w:val="center"/>
                </w:tcPr>
                <w:p>
                  <w:pPr>
                    <w:pStyle w:val="215"/>
                  </w:pPr>
                  <w:r>
                    <w:t>61.9</w:t>
                  </w:r>
                </w:p>
              </w:tc>
              <w:tc>
                <w:tcPr>
                  <w:tcW w:w="1606" w:type="dxa"/>
                  <w:vAlign w:val="center"/>
                </w:tcPr>
                <w:p>
                  <w:pPr>
                    <w:pStyle w:val="215"/>
                  </w:pPr>
                  <w:r>
                    <w:t>55.9</w:t>
                  </w:r>
                </w:p>
              </w:tc>
            </w:tr>
          </w:tbl>
          <w:p>
            <w:pPr>
              <w:adjustRightInd w:val="0"/>
              <w:snapToGrid w:val="0"/>
              <w:spacing w:before="120" w:beforeLines="50" w:line="360" w:lineRule="auto"/>
              <w:ind w:firstLine="480" w:firstLineChars="200"/>
              <w:rPr>
                <w:lang w:val="en-GB"/>
              </w:rPr>
            </w:pPr>
            <w:r>
              <w:rPr>
                <w:lang w:val="en-GB"/>
              </w:rPr>
              <w:t>对比各种施工机械在不同距离处的噪声预测值结果和《建筑施工场界环境噪声排放标准》（GB12523-2011）（昼间70dB（A），夜间55dB（A）），得到主要施工机械的噪声影响范围可知，施工期施工机械昼间在20m以外范围内可达标，夜间在100m以外范围内可达标，施工单位合理安排施工时间，禁止夜间施工。</w:t>
            </w:r>
          </w:p>
          <w:p>
            <w:pPr>
              <w:spacing w:line="360" w:lineRule="auto"/>
              <w:ind w:firstLine="482" w:firstLineChars="200"/>
              <w:rPr>
                <w:b/>
              </w:rPr>
            </w:pPr>
            <w:r>
              <w:rPr>
                <w:rFonts w:hint="eastAsia"/>
                <w:b/>
              </w:rPr>
              <w:t>4、固体废物</w:t>
            </w:r>
          </w:p>
          <w:p>
            <w:pPr>
              <w:spacing w:line="360" w:lineRule="auto"/>
              <w:ind w:firstLine="480" w:firstLineChars="200"/>
            </w:pPr>
            <w:r>
              <w:t>项目施工期产生的固体废弃物主要来源于施工人员日常生活产生的生活垃圾及。项目机械拆卸过程产生的废旧零部件。施工人员的生活垃圾集中收集，集中收集后委托环卫部门定期清运。废旧零部件收集后集中外售。因此，施工期固废对周围环境影响较小。</w:t>
            </w:r>
          </w:p>
          <w:p>
            <w:pPr>
              <w:spacing w:line="360" w:lineRule="auto"/>
              <w:ind w:firstLine="482" w:firstLineChars="200"/>
              <w:rPr>
                <w:b/>
              </w:rPr>
            </w:pPr>
            <w:r>
              <w:rPr>
                <w:b/>
              </w:rPr>
              <w:t>5</w:t>
            </w:r>
            <w:r>
              <w:rPr>
                <w:rFonts w:hint="eastAsia"/>
                <w:b/>
              </w:rPr>
              <w:t>、小结</w:t>
            </w:r>
          </w:p>
          <w:p>
            <w:pPr>
              <w:adjustRightInd w:val="0"/>
              <w:snapToGrid w:val="0"/>
              <w:spacing w:line="360" w:lineRule="auto"/>
              <w:ind w:firstLine="470" w:firstLineChars="196"/>
            </w:pPr>
            <w:r>
              <w:rPr>
                <w:rFonts w:hint="eastAsia"/>
              </w:rPr>
              <w:t>综上所述，项目施工期，建设单位对施工过程中产生的污染物进行了有效治理，使各种污染物达标排放，对项目区的环境的影响很小；同时采取有效的生态保护措施。随着施工期的结束，其环境影响也随之消除。</w:t>
            </w: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70" w:firstLineChars="196"/>
            </w:pPr>
          </w:p>
          <w:p>
            <w:pPr>
              <w:adjustRightInd w:val="0"/>
              <w:snapToGrid w:val="0"/>
              <w:spacing w:line="360" w:lineRule="auto"/>
              <w:ind w:firstLine="431" w:firstLineChars="196"/>
              <w:rPr>
                <w:rFonts w:ascii="宋体" w:hAnsi="宋体" w:cs="宋体"/>
                <w:bCs/>
                <w:spacing w:val="-10"/>
                <w:szCs w:val="21"/>
                <w:lang w:val="en-GB"/>
              </w:rPr>
            </w:pPr>
          </w:p>
          <w:p>
            <w:pPr>
              <w:adjustRightInd w:val="0"/>
              <w:snapToGrid w:val="0"/>
              <w:spacing w:line="360" w:lineRule="auto"/>
              <w:ind w:firstLine="440" w:firstLineChars="200"/>
              <w:rPr>
                <w:rFonts w:ascii="宋体" w:hAnsi="宋体" w:cs="宋体"/>
                <w:bCs/>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Before w:val="1"/>
          <w:wBefore w:w="38" w:type="dxa"/>
          <w:trHeight w:val="11476" w:hRule="atLeast"/>
          <w:jc w:val="center"/>
        </w:trPr>
        <w:tc>
          <w:tcPr>
            <w:tcW w:w="458" w:type="dxa"/>
            <w:gridSpan w:val="2"/>
            <w:tcMar>
              <w:left w:w="28" w:type="dxa"/>
              <w:right w:w="28" w:type="dxa"/>
            </w:tcMar>
            <w:vAlign w:val="center"/>
          </w:tcPr>
          <w:p>
            <w:pPr>
              <w:adjustRightInd w:val="0"/>
              <w:snapToGrid w:val="0"/>
              <w:jc w:val="center"/>
              <w:rPr>
                <w:rFonts w:ascii="宋体" w:hAnsi="宋体" w:cs="宋体"/>
                <w:bCs/>
                <w:szCs w:val="21"/>
              </w:rPr>
            </w:pPr>
            <w:r>
              <w:rPr>
                <w:rFonts w:hint="eastAsia" w:ascii="宋体" w:hAnsi="宋体" w:cs="宋体"/>
                <w:bCs/>
                <w:szCs w:val="21"/>
              </w:rPr>
              <w:t>运营期环境影响和</w:t>
            </w:r>
          </w:p>
          <w:p>
            <w:pPr>
              <w:adjustRightInd w:val="0"/>
              <w:snapToGrid w:val="0"/>
              <w:jc w:val="center"/>
              <w:rPr>
                <w:rFonts w:ascii="宋体" w:hAnsi="宋体" w:cs="宋体"/>
                <w:bCs/>
                <w:szCs w:val="21"/>
              </w:rPr>
            </w:pPr>
            <w:r>
              <w:rPr>
                <w:rFonts w:hint="eastAsia" w:ascii="宋体" w:hAnsi="宋体" w:cs="宋体"/>
                <w:bCs/>
                <w:szCs w:val="21"/>
              </w:rPr>
              <w:t>保护措施</w:t>
            </w:r>
          </w:p>
        </w:tc>
        <w:tc>
          <w:tcPr>
            <w:tcW w:w="8450" w:type="dxa"/>
            <w:gridSpan w:val="2"/>
            <w:vAlign w:val="center"/>
          </w:tcPr>
          <w:p>
            <w:pPr>
              <w:spacing w:before="120" w:beforeLines="50" w:line="360" w:lineRule="auto"/>
              <w:ind w:firstLine="472" w:firstLineChars="196"/>
              <w:rPr>
                <w:b/>
                <w:bCs/>
              </w:rPr>
            </w:pPr>
            <w:r>
              <w:rPr>
                <w:rFonts w:hint="eastAsia"/>
                <w:b/>
                <w:bCs/>
              </w:rPr>
              <w:t>一</w:t>
            </w:r>
            <w:r>
              <w:rPr>
                <w:b/>
                <w:bCs/>
              </w:rPr>
              <w:t>、</w:t>
            </w:r>
            <w:r>
              <w:rPr>
                <w:b/>
              </w:rPr>
              <w:t>大气</w:t>
            </w:r>
            <w:r>
              <w:rPr>
                <w:b/>
                <w:bCs/>
              </w:rPr>
              <w:t>环境影响分析</w:t>
            </w:r>
          </w:p>
          <w:p>
            <w:pPr>
              <w:spacing w:line="360" w:lineRule="auto"/>
              <w:ind w:firstLine="480" w:firstLineChars="200"/>
              <w:rPr>
                <w:lang w:val="en-GB"/>
              </w:rPr>
            </w:pPr>
            <w:r>
              <w:rPr>
                <w:rFonts w:hint="eastAsia"/>
                <w:lang w:val="en-GB"/>
              </w:rPr>
              <w:t>本项目运营期废气主要来自刨片、筛分颗粒物；干燥工序颗粒物、VOCs；锯边、截边颗粒物；施胶、预压、热压工序产生的VOCs和甲醛。</w:t>
            </w:r>
          </w:p>
          <w:p>
            <w:pPr>
              <w:spacing w:line="360" w:lineRule="auto"/>
              <w:ind w:firstLine="482" w:firstLineChars="200"/>
              <w:rPr>
                <w:b/>
                <w:bCs/>
                <w:lang w:val="en-GB"/>
              </w:rPr>
            </w:pPr>
            <w:r>
              <w:rPr>
                <w:b/>
                <w:bCs/>
                <w:lang w:val="en-GB"/>
              </w:rPr>
              <w:t>1、</w:t>
            </w:r>
            <w:r>
              <w:rPr>
                <w:rFonts w:hint="eastAsia"/>
                <w:b/>
                <w:bCs/>
                <w:lang w:val="en-GB"/>
              </w:rPr>
              <w:t>源强核算</w:t>
            </w:r>
          </w:p>
          <w:p>
            <w:pPr>
              <w:adjustRightInd w:val="0"/>
              <w:spacing w:line="360" w:lineRule="auto"/>
              <w:ind w:firstLine="480" w:firstLineChars="200"/>
              <w:textAlignment w:val="baseline"/>
              <w:rPr>
                <w:bCs/>
                <w:szCs w:val="20"/>
              </w:rPr>
            </w:pPr>
            <w:r>
              <w:rPr>
                <w:rFonts w:hint="eastAsia"/>
                <w:bCs/>
                <w:szCs w:val="20"/>
              </w:rPr>
              <w:t>①干燥工序废气</w:t>
            </w:r>
          </w:p>
          <w:p>
            <w:pPr>
              <w:adjustRightInd w:val="0"/>
              <w:spacing w:line="360" w:lineRule="auto"/>
              <w:ind w:firstLine="480" w:firstLineChars="200"/>
              <w:textAlignment w:val="baseline"/>
              <w:rPr>
                <w:bCs/>
                <w:szCs w:val="20"/>
                <w:lang w:val="en-GB"/>
              </w:rPr>
            </w:pPr>
            <w:r>
              <w:rPr>
                <w:rFonts w:hint="eastAsia"/>
                <w:bCs/>
                <w:szCs w:val="20"/>
                <w:lang w:val="en-GB"/>
              </w:rPr>
              <w:t>项目烘干采用热风干燥系统加热的热风直接接触物料，烘干过程会产生粉尘和少量的VOCs。</w:t>
            </w:r>
          </w:p>
          <w:p>
            <w:pPr>
              <w:adjustRightInd w:val="0"/>
              <w:spacing w:line="360" w:lineRule="auto"/>
              <w:ind w:firstLine="480" w:firstLineChars="200"/>
              <w:textAlignment w:val="baseline"/>
              <w:rPr>
                <w:bCs/>
                <w:szCs w:val="20"/>
                <w:lang w:val="en-GB"/>
              </w:rPr>
            </w:pPr>
            <w:r>
              <w:rPr>
                <w:rFonts w:hint="eastAsia"/>
                <w:bCs/>
                <w:szCs w:val="20"/>
                <w:lang w:val="en-GB"/>
              </w:rPr>
              <w:t>根据</w:t>
            </w:r>
            <w:r>
              <w:rPr>
                <w:bCs/>
                <w:szCs w:val="20"/>
                <w:lang w:val="en-GB"/>
              </w:rPr>
              <w:t>《排放源统计调查产排污核算方法和系数手册（公告2021年 第24号）》，202</w:t>
            </w:r>
            <w:r>
              <w:rPr>
                <w:rFonts w:hint="eastAsia"/>
                <w:bCs/>
                <w:szCs w:val="20"/>
                <w:lang w:val="en-GB"/>
              </w:rPr>
              <w:t>人造板制造行业</w:t>
            </w:r>
            <w:r>
              <w:rPr>
                <w:bCs/>
                <w:szCs w:val="20"/>
                <w:lang w:val="en-GB"/>
              </w:rPr>
              <w:t>产污系数，</w:t>
            </w:r>
            <w:r>
              <w:rPr>
                <w:rFonts w:hint="eastAsia"/>
                <w:bCs/>
                <w:szCs w:val="20"/>
                <w:lang w:val="en-GB"/>
              </w:rPr>
              <w:t>烘干工序工业废气产生量为2</w:t>
            </w:r>
            <w:r>
              <w:rPr>
                <w:bCs/>
                <w:szCs w:val="20"/>
                <w:lang w:val="en-GB"/>
              </w:rPr>
              <w:t>32</w:t>
            </w:r>
            <w:r>
              <w:rPr>
                <w:rFonts w:hint="eastAsia"/>
                <w:bCs/>
                <w:szCs w:val="20"/>
                <w:lang w:val="en-GB"/>
              </w:rPr>
              <w:t>m</w:t>
            </w:r>
            <w:r>
              <w:rPr>
                <w:bCs/>
                <w:szCs w:val="20"/>
                <w:vertAlign w:val="superscript"/>
                <w:lang w:val="en-GB"/>
              </w:rPr>
              <w:t>3</w:t>
            </w:r>
            <w:r>
              <w:rPr>
                <w:bCs/>
                <w:szCs w:val="20"/>
                <w:lang w:val="en-GB"/>
              </w:rPr>
              <w:t>/m</w:t>
            </w:r>
            <w:r>
              <w:rPr>
                <w:bCs/>
                <w:szCs w:val="20"/>
                <w:vertAlign w:val="superscript"/>
                <w:lang w:val="en-GB"/>
              </w:rPr>
              <w:t>3</w:t>
            </w:r>
            <w:r>
              <w:rPr>
                <w:rFonts w:hint="eastAsia"/>
                <w:bCs/>
                <w:szCs w:val="20"/>
                <w:lang w:val="en-GB"/>
              </w:rPr>
              <w:t>-产品，项目年产刨花板8万m</w:t>
            </w:r>
            <w:r>
              <w:rPr>
                <w:bCs/>
                <w:szCs w:val="20"/>
                <w:vertAlign w:val="superscript"/>
                <w:lang w:val="en-GB"/>
              </w:rPr>
              <w:t>3</w:t>
            </w:r>
            <w:r>
              <w:rPr>
                <w:rFonts w:hint="eastAsia"/>
                <w:bCs/>
                <w:szCs w:val="20"/>
                <w:lang w:val="en-GB"/>
              </w:rPr>
              <w:t>，则烘干工序工业废气产生量为7</w:t>
            </w:r>
            <w:r>
              <w:rPr>
                <w:bCs/>
                <w:szCs w:val="20"/>
                <w:lang w:val="en-GB"/>
              </w:rPr>
              <w:t>734</w:t>
            </w:r>
            <w:r>
              <w:rPr>
                <w:rFonts w:hint="eastAsia"/>
                <w:bCs/>
                <w:szCs w:val="20"/>
                <w:lang w:val="en-GB"/>
              </w:rPr>
              <w:t>m</w:t>
            </w:r>
            <w:r>
              <w:rPr>
                <w:bCs/>
                <w:szCs w:val="20"/>
                <w:vertAlign w:val="superscript"/>
                <w:lang w:val="en-GB"/>
              </w:rPr>
              <w:t>3</w:t>
            </w:r>
            <w:r>
              <w:rPr>
                <w:bCs/>
                <w:szCs w:val="20"/>
                <w:lang w:val="en-GB"/>
              </w:rPr>
              <w:t>/h</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颗粒物：参考厂区现有生产线烘干工序粉尘产生量，本项目粉尘产生量约为1</w:t>
            </w:r>
            <w:r>
              <w:rPr>
                <w:bCs/>
                <w:szCs w:val="20"/>
                <w:lang w:val="en-GB"/>
              </w:rPr>
              <w:t>3</w:t>
            </w:r>
            <w:r>
              <w:rPr>
                <w:rFonts w:hint="eastAsia"/>
                <w:bCs/>
                <w:szCs w:val="20"/>
                <w:lang w:val="en-GB"/>
              </w:rPr>
              <w:t>.</w:t>
            </w:r>
            <w:r>
              <w:rPr>
                <w:bCs/>
                <w:szCs w:val="20"/>
                <w:lang w:val="en-GB"/>
              </w:rPr>
              <w:t>76</w:t>
            </w:r>
            <w:r>
              <w:rPr>
                <w:rFonts w:hint="eastAsia"/>
                <w:bCs/>
                <w:szCs w:val="20"/>
                <w:lang w:val="en-GB"/>
              </w:rPr>
              <w:t>t</w:t>
            </w:r>
            <w:r>
              <w:rPr>
                <w:bCs/>
                <w:szCs w:val="20"/>
                <w:lang w:val="en-GB"/>
              </w:rPr>
              <w:t>/a</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VOCs：由于原料含水分量极少，在烘干过程产生的水分忽略不计，根据《第二次全国污染源普查工业污染源普查》202人造板制造行业，烘干过程产生VOCs，产污系数为 0.400g/m³-产品，项目年产</w:t>
            </w:r>
            <w:r>
              <w:rPr>
                <w:bCs/>
                <w:szCs w:val="20"/>
                <w:lang w:val="en-GB"/>
              </w:rPr>
              <w:t>8</w:t>
            </w:r>
            <w:r>
              <w:rPr>
                <w:rFonts w:hint="eastAsia"/>
                <w:bCs/>
                <w:szCs w:val="20"/>
                <w:lang w:val="en-GB"/>
              </w:rPr>
              <w:t>万方刨花板，由此烘干过程产生的VOCs为0.0</w:t>
            </w:r>
            <w:r>
              <w:rPr>
                <w:bCs/>
                <w:szCs w:val="20"/>
                <w:lang w:val="en-GB"/>
              </w:rPr>
              <w:t>32</w:t>
            </w:r>
            <w:r>
              <w:rPr>
                <w:rFonts w:hint="eastAsia"/>
                <w:bCs/>
                <w:szCs w:val="20"/>
                <w:lang w:val="en-GB"/>
              </w:rPr>
              <w:t>t/a。</w:t>
            </w:r>
          </w:p>
          <w:p>
            <w:pPr>
              <w:adjustRightInd w:val="0"/>
              <w:spacing w:line="360" w:lineRule="auto"/>
              <w:ind w:firstLine="480" w:firstLineChars="200"/>
              <w:textAlignment w:val="baseline"/>
              <w:rPr>
                <w:bCs/>
                <w:szCs w:val="20"/>
                <w:lang w:val="en-GB"/>
              </w:rPr>
            </w:pPr>
            <w:r>
              <w:rPr>
                <w:rFonts w:hint="eastAsia"/>
                <w:bCs/>
                <w:szCs w:val="20"/>
                <w:lang w:val="en-GB"/>
              </w:rPr>
              <w:t>②刨片、筛分、锯边、截边工序颗粒物</w:t>
            </w:r>
          </w:p>
          <w:p>
            <w:pPr>
              <w:adjustRightInd w:val="0"/>
              <w:spacing w:line="360" w:lineRule="auto"/>
              <w:ind w:firstLine="480" w:firstLineChars="200"/>
              <w:textAlignment w:val="baseline"/>
              <w:rPr>
                <w:bCs/>
                <w:szCs w:val="20"/>
                <w:lang w:val="en-GB"/>
              </w:rPr>
            </w:pPr>
            <w:r>
              <w:rPr>
                <w:rFonts w:hint="eastAsia"/>
                <w:bCs/>
                <w:szCs w:val="20"/>
                <w:lang w:val="en-GB"/>
              </w:rPr>
              <w:t>此部分废气量依据</w:t>
            </w:r>
            <w:r>
              <w:rPr>
                <w:bCs/>
                <w:szCs w:val="20"/>
                <w:lang w:val="en-GB"/>
              </w:rPr>
              <w:t>《排放源统计调查产排污核算方法和系数手册（公告2021年 第24号）》，202</w:t>
            </w:r>
            <w:r>
              <w:rPr>
                <w:rFonts w:hint="eastAsia"/>
                <w:bCs/>
                <w:szCs w:val="20"/>
                <w:lang w:val="en-GB"/>
              </w:rPr>
              <w:t>人造板制造行业</w:t>
            </w:r>
            <w:r>
              <w:rPr>
                <w:bCs/>
                <w:szCs w:val="20"/>
                <w:lang w:val="en-GB"/>
              </w:rPr>
              <w:t>产污系数</w:t>
            </w:r>
            <w:r>
              <w:rPr>
                <w:rFonts w:hint="eastAsia"/>
                <w:bCs/>
                <w:szCs w:val="20"/>
                <w:lang w:val="en-GB"/>
              </w:rPr>
              <w:t>，刨片筛分工序废气产生量源强为6</w:t>
            </w:r>
            <w:r>
              <w:rPr>
                <w:bCs/>
                <w:szCs w:val="20"/>
                <w:lang w:val="en-GB"/>
              </w:rPr>
              <w:t>88</w:t>
            </w:r>
            <w:r>
              <w:rPr>
                <w:rFonts w:hint="eastAsia"/>
                <w:bCs/>
                <w:szCs w:val="20"/>
                <w:lang w:val="en-GB"/>
              </w:rPr>
              <w:t>m</w:t>
            </w:r>
            <w:r>
              <w:rPr>
                <w:bCs/>
                <w:szCs w:val="20"/>
                <w:vertAlign w:val="superscript"/>
                <w:lang w:val="en-GB"/>
              </w:rPr>
              <w:t>3</w:t>
            </w:r>
            <w:r>
              <w:rPr>
                <w:rFonts w:hint="eastAsia"/>
                <w:bCs/>
                <w:szCs w:val="20"/>
                <w:lang w:val="en-GB"/>
              </w:rPr>
              <w:t>/m³-产品，锯边截边工序废气源强为</w:t>
            </w:r>
            <w:r>
              <w:rPr>
                <w:bCs/>
                <w:szCs w:val="20"/>
                <w:lang w:val="en-GB"/>
              </w:rPr>
              <w:t>1.24×10</w:t>
            </w:r>
            <w:r>
              <w:rPr>
                <w:bCs/>
                <w:szCs w:val="20"/>
                <w:vertAlign w:val="superscript"/>
                <w:lang w:val="en-GB"/>
              </w:rPr>
              <w:t>3</w:t>
            </w:r>
            <w:r>
              <w:rPr>
                <w:rFonts w:hint="eastAsia"/>
                <w:bCs/>
                <w:szCs w:val="20"/>
                <w:lang w:val="en-GB"/>
              </w:rPr>
              <w:t xml:space="preserve"> m</w:t>
            </w:r>
            <w:r>
              <w:rPr>
                <w:bCs/>
                <w:szCs w:val="20"/>
                <w:vertAlign w:val="superscript"/>
                <w:lang w:val="en-GB"/>
              </w:rPr>
              <w:t>3</w:t>
            </w:r>
            <w:r>
              <w:rPr>
                <w:rFonts w:hint="eastAsia"/>
                <w:bCs/>
                <w:szCs w:val="20"/>
                <w:lang w:val="en-GB"/>
              </w:rPr>
              <w:t>/m³-产品，此部分废气产生量为6</w:t>
            </w:r>
            <w:r>
              <w:rPr>
                <w:bCs/>
                <w:szCs w:val="20"/>
                <w:lang w:val="en-GB"/>
              </w:rPr>
              <w:t>4267</w:t>
            </w:r>
            <w:r>
              <w:rPr>
                <w:rFonts w:hint="eastAsia"/>
                <w:bCs/>
                <w:szCs w:val="20"/>
                <w:lang w:val="en-GB"/>
              </w:rPr>
              <w:t>m</w:t>
            </w:r>
            <w:r>
              <w:rPr>
                <w:bCs/>
                <w:szCs w:val="20"/>
                <w:vertAlign w:val="superscript"/>
                <w:lang w:val="en-GB"/>
              </w:rPr>
              <w:t>3</w:t>
            </w:r>
            <w:r>
              <w:rPr>
                <w:bCs/>
                <w:szCs w:val="20"/>
                <w:lang w:val="en-GB"/>
              </w:rPr>
              <w:t>/h</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刨片、筛分、锯边、截边工序颗粒物</w:t>
            </w:r>
            <w:r>
              <w:rPr>
                <w:bCs/>
                <w:szCs w:val="20"/>
              </w:rPr>
              <w:t>源强依据</w:t>
            </w:r>
            <w:r>
              <w:rPr>
                <w:bCs/>
                <w:szCs w:val="20"/>
                <w:lang w:val="en-GB"/>
              </w:rPr>
              <w:t>《排放源统计调查产排污核算方法和系数手册（公告2021年 第24号）》，202</w:t>
            </w:r>
            <w:r>
              <w:rPr>
                <w:rFonts w:hint="eastAsia"/>
                <w:bCs/>
                <w:szCs w:val="20"/>
                <w:lang w:val="en-GB"/>
              </w:rPr>
              <w:t>人造板制造行业</w:t>
            </w:r>
            <w:r>
              <w:rPr>
                <w:bCs/>
                <w:szCs w:val="20"/>
                <w:lang w:val="en-GB"/>
              </w:rPr>
              <w:t>产污系数，</w:t>
            </w:r>
            <w:r>
              <w:rPr>
                <w:rFonts w:hint="eastAsia"/>
                <w:bCs/>
                <w:szCs w:val="20"/>
                <w:lang w:val="en-GB"/>
              </w:rPr>
              <w:t>下料工序颗粒物产污系数为0.</w:t>
            </w:r>
            <w:r>
              <w:rPr>
                <w:bCs/>
                <w:szCs w:val="20"/>
                <w:lang w:val="en-GB"/>
              </w:rPr>
              <w:t>45</w:t>
            </w:r>
            <w:r>
              <w:rPr>
                <w:rFonts w:hint="eastAsia"/>
                <w:bCs/>
                <w:szCs w:val="20"/>
                <w:lang w:val="en-GB"/>
              </w:rPr>
              <w:t>kg/</w:t>
            </w:r>
            <w:r>
              <w:rPr>
                <w:bCs/>
                <w:szCs w:val="20"/>
                <w:lang w:val="en-GB"/>
              </w:rPr>
              <w:t>m</w:t>
            </w:r>
            <w:r>
              <w:rPr>
                <w:rFonts w:hint="eastAsia"/>
                <w:bCs/>
                <w:szCs w:val="20"/>
                <w:vertAlign w:val="superscript"/>
                <w:lang w:val="en-GB"/>
              </w:rPr>
              <w:t>3</w:t>
            </w:r>
            <w:r>
              <w:rPr>
                <w:rFonts w:hint="eastAsia"/>
                <w:bCs/>
                <w:szCs w:val="20"/>
                <w:lang w:val="en-GB"/>
              </w:rPr>
              <w:t>。项目年产刨花板8万m</w:t>
            </w:r>
            <w:r>
              <w:rPr>
                <w:bCs/>
                <w:szCs w:val="20"/>
                <w:vertAlign w:val="superscript"/>
                <w:lang w:val="en-GB"/>
              </w:rPr>
              <w:t>3</w:t>
            </w:r>
            <w:r>
              <w:rPr>
                <w:rFonts w:hint="eastAsia"/>
                <w:bCs/>
                <w:szCs w:val="20"/>
                <w:lang w:val="en-GB"/>
              </w:rPr>
              <w:t>，则下料工序颗粒物产生量为3</w:t>
            </w:r>
            <w:r>
              <w:rPr>
                <w:bCs/>
                <w:szCs w:val="20"/>
                <w:lang w:val="en-GB"/>
              </w:rPr>
              <w:t>6</w:t>
            </w:r>
            <w:r>
              <w:rPr>
                <w:rFonts w:hint="eastAsia"/>
                <w:bCs/>
                <w:szCs w:val="20"/>
                <w:lang w:val="en-GB"/>
              </w:rPr>
              <w:t>t</w:t>
            </w:r>
            <w:r>
              <w:rPr>
                <w:bCs/>
                <w:szCs w:val="20"/>
                <w:lang w:val="en-GB"/>
              </w:rPr>
              <w:t>/a</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锯边、截边工序颗粒物源强依据</w:t>
            </w:r>
            <w:r>
              <w:rPr>
                <w:bCs/>
                <w:szCs w:val="20"/>
                <w:lang w:val="en-GB"/>
              </w:rPr>
              <w:t>《排放源统计调查产排污核算方法和系数手册（公告2021年 第24号）》，202</w:t>
            </w:r>
            <w:r>
              <w:rPr>
                <w:rFonts w:hint="eastAsia"/>
                <w:bCs/>
                <w:szCs w:val="20"/>
                <w:lang w:val="en-GB"/>
              </w:rPr>
              <w:t>人造板制造行业</w:t>
            </w:r>
            <w:r>
              <w:rPr>
                <w:bCs/>
                <w:szCs w:val="20"/>
                <w:lang w:val="en-GB"/>
              </w:rPr>
              <w:t>产污系数，</w:t>
            </w:r>
            <w:r>
              <w:rPr>
                <w:rFonts w:hint="eastAsia"/>
                <w:bCs/>
                <w:szCs w:val="20"/>
                <w:lang w:val="en-GB"/>
              </w:rPr>
              <w:t>冷却、裁边工序颗粒物产污系数为1.</w:t>
            </w:r>
            <w:r>
              <w:rPr>
                <w:bCs/>
                <w:szCs w:val="20"/>
                <w:lang w:val="en-GB"/>
              </w:rPr>
              <w:t>715</w:t>
            </w:r>
            <w:r>
              <w:rPr>
                <w:rFonts w:hint="eastAsia"/>
                <w:bCs/>
                <w:szCs w:val="20"/>
                <w:lang w:val="en-GB"/>
              </w:rPr>
              <w:t>kg/</w:t>
            </w:r>
            <w:r>
              <w:rPr>
                <w:bCs/>
                <w:szCs w:val="20"/>
                <w:lang w:val="en-GB"/>
              </w:rPr>
              <w:t>m</w:t>
            </w:r>
            <w:r>
              <w:rPr>
                <w:rFonts w:hint="eastAsia"/>
                <w:bCs/>
                <w:szCs w:val="20"/>
                <w:vertAlign w:val="superscript"/>
                <w:lang w:val="en-GB"/>
              </w:rPr>
              <w:t>3</w:t>
            </w:r>
            <w:r>
              <w:rPr>
                <w:rFonts w:hint="eastAsia"/>
                <w:bCs/>
                <w:szCs w:val="20"/>
                <w:lang w:val="en-GB"/>
              </w:rPr>
              <w:t>。项目年产刨花板8万m</w:t>
            </w:r>
            <w:r>
              <w:rPr>
                <w:bCs/>
                <w:szCs w:val="20"/>
                <w:vertAlign w:val="superscript"/>
                <w:lang w:val="en-GB"/>
              </w:rPr>
              <w:t>3</w:t>
            </w:r>
            <w:r>
              <w:rPr>
                <w:rFonts w:hint="eastAsia"/>
                <w:bCs/>
                <w:szCs w:val="20"/>
                <w:lang w:val="en-GB"/>
              </w:rPr>
              <w:t>，则锯边、裁边工序颗粒物产生量为</w:t>
            </w:r>
            <w:r>
              <w:rPr>
                <w:bCs/>
                <w:szCs w:val="20"/>
                <w:lang w:val="en-GB"/>
              </w:rPr>
              <w:t>137</w:t>
            </w:r>
            <w:r>
              <w:rPr>
                <w:rFonts w:hint="eastAsia"/>
                <w:bCs/>
                <w:szCs w:val="20"/>
                <w:lang w:val="en-GB"/>
              </w:rPr>
              <w:t>.</w:t>
            </w:r>
            <w:r>
              <w:rPr>
                <w:bCs/>
                <w:szCs w:val="20"/>
                <w:lang w:val="en-GB"/>
              </w:rPr>
              <w:t>2</w:t>
            </w:r>
            <w:r>
              <w:rPr>
                <w:rFonts w:hint="eastAsia"/>
                <w:bCs/>
                <w:szCs w:val="20"/>
                <w:lang w:val="en-GB"/>
              </w:rPr>
              <w:t>t</w:t>
            </w:r>
            <w:r>
              <w:rPr>
                <w:bCs/>
                <w:szCs w:val="20"/>
                <w:lang w:val="en-GB"/>
              </w:rPr>
              <w:t>/a</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③施胶、铺装、预压、热压工序VOCs和甲醛</w:t>
            </w:r>
          </w:p>
          <w:p>
            <w:pPr>
              <w:adjustRightInd w:val="0"/>
              <w:spacing w:line="360" w:lineRule="auto"/>
              <w:ind w:firstLine="480" w:firstLineChars="200"/>
              <w:textAlignment w:val="baseline"/>
              <w:rPr>
                <w:bCs/>
                <w:szCs w:val="20"/>
                <w:lang w:val="en-GB"/>
              </w:rPr>
            </w:pPr>
            <w:r>
              <w:rPr>
                <w:rFonts w:hint="eastAsia"/>
                <w:bCs/>
                <w:szCs w:val="20"/>
                <w:lang w:val="en-GB"/>
              </w:rPr>
              <w:t>此部分废气量依据</w:t>
            </w:r>
            <w:r>
              <w:rPr>
                <w:bCs/>
                <w:szCs w:val="20"/>
                <w:lang w:val="en-GB"/>
              </w:rPr>
              <w:t>《排放源统计调查产排污核算方法和系数手册（公告2021年 第24号）》，202人造板制造行业产污系数，</w:t>
            </w:r>
            <w:r>
              <w:rPr>
                <w:rFonts w:hint="eastAsia"/>
                <w:bCs/>
                <w:szCs w:val="20"/>
                <w:lang w:val="en-GB"/>
              </w:rPr>
              <w:t>施胶</w:t>
            </w:r>
            <w:r>
              <w:rPr>
                <w:bCs/>
                <w:szCs w:val="20"/>
                <w:lang w:val="en-GB"/>
              </w:rPr>
              <w:t>工序</w:t>
            </w:r>
            <w:r>
              <w:rPr>
                <w:rFonts w:hint="eastAsia"/>
                <w:bCs/>
                <w:szCs w:val="20"/>
                <w:lang w:val="en-GB"/>
              </w:rPr>
              <w:t>废气产生量源强为2</w:t>
            </w:r>
            <w:r>
              <w:rPr>
                <w:bCs/>
                <w:szCs w:val="20"/>
                <w:lang w:val="en-GB"/>
              </w:rPr>
              <w:t>4</w:t>
            </w:r>
            <w:r>
              <w:rPr>
                <w:rFonts w:hint="eastAsia"/>
                <w:bCs/>
                <w:szCs w:val="20"/>
                <w:lang w:val="en-GB"/>
              </w:rPr>
              <w:t>.</w:t>
            </w:r>
            <w:r>
              <w:rPr>
                <w:bCs/>
                <w:szCs w:val="20"/>
                <w:lang w:val="en-GB"/>
              </w:rPr>
              <w:t>5m</w:t>
            </w:r>
            <w:r>
              <w:rPr>
                <w:bCs/>
                <w:szCs w:val="20"/>
                <w:vertAlign w:val="superscript"/>
                <w:lang w:val="en-GB"/>
              </w:rPr>
              <w:t>3</w:t>
            </w:r>
            <w:r>
              <w:rPr>
                <w:rFonts w:hint="eastAsia"/>
                <w:bCs/>
                <w:szCs w:val="20"/>
                <w:lang w:val="en-GB"/>
              </w:rPr>
              <w:t>/m³-产品，预压热压工序废气源强为</w:t>
            </w:r>
            <w:r>
              <w:rPr>
                <w:bCs/>
                <w:szCs w:val="20"/>
                <w:lang w:val="en-GB"/>
              </w:rPr>
              <w:t>417m</w:t>
            </w:r>
            <w:r>
              <w:rPr>
                <w:bCs/>
                <w:szCs w:val="20"/>
                <w:vertAlign w:val="superscript"/>
                <w:lang w:val="en-GB"/>
              </w:rPr>
              <w:t>3</w:t>
            </w:r>
            <w:r>
              <w:rPr>
                <w:rFonts w:hint="eastAsia"/>
                <w:bCs/>
                <w:szCs w:val="20"/>
                <w:lang w:val="en-GB"/>
              </w:rPr>
              <w:t>/m³-产品，此部分废气产生量为</w:t>
            </w:r>
            <w:r>
              <w:rPr>
                <w:bCs/>
                <w:szCs w:val="20"/>
                <w:lang w:val="en-GB"/>
              </w:rPr>
              <w:t>14716m</w:t>
            </w:r>
            <w:r>
              <w:rPr>
                <w:bCs/>
                <w:szCs w:val="20"/>
                <w:vertAlign w:val="superscript"/>
                <w:lang w:val="en-GB"/>
              </w:rPr>
              <w:t>3</w:t>
            </w:r>
            <w:r>
              <w:rPr>
                <w:bCs/>
                <w:szCs w:val="20"/>
                <w:lang w:val="en-GB"/>
              </w:rPr>
              <w:t>/h</w:t>
            </w:r>
          </w:p>
          <w:p>
            <w:pPr>
              <w:adjustRightInd w:val="0"/>
              <w:spacing w:line="360" w:lineRule="auto"/>
              <w:ind w:firstLine="480" w:firstLineChars="200"/>
              <w:textAlignment w:val="baseline"/>
              <w:rPr>
                <w:bCs/>
                <w:szCs w:val="20"/>
                <w:lang w:val="en-GB"/>
              </w:rPr>
            </w:pPr>
            <w:r>
              <w:rPr>
                <w:rFonts w:hint="eastAsia"/>
                <w:bCs/>
                <w:szCs w:val="20"/>
                <w:lang w:val="en-GB"/>
              </w:rPr>
              <w:t>VOCs：产生量根据《第二次全国污染源普查工业污染源普查》202人造板制造行业施胶产污系数为</w:t>
            </w:r>
            <w:r>
              <w:rPr>
                <w:bCs/>
                <w:szCs w:val="20"/>
                <w:lang w:val="en-GB"/>
              </w:rPr>
              <w:t>22</w:t>
            </w:r>
            <w:r>
              <w:rPr>
                <w:rFonts w:hint="eastAsia"/>
                <w:bCs/>
                <w:szCs w:val="20"/>
                <w:lang w:val="en-GB"/>
              </w:rPr>
              <w:t>.</w:t>
            </w:r>
            <w:r>
              <w:rPr>
                <w:bCs/>
                <w:szCs w:val="20"/>
                <w:lang w:val="en-GB"/>
              </w:rPr>
              <w:t>2</w:t>
            </w:r>
            <w:r>
              <w:rPr>
                <w:rFonts w:hint="eastAsia"/>
                <w:bCs/>
                <w:szCs w:val="20"/>
                <w:lang w:val="en-GB"/>
              </w:rPr>
              <w:t xml:space="preserve">g/m³-产品，热压、定型产污系数为 </w:t>
            </w:r>
            <w:r>
              <w:rPr>
                <w:bCs/>
                <w:szCs w:val="20"/>
                <w:lang w:val="en-GB"/>
              </w:rPr>
              <w:t>24</w:t>
            </w:r>
            <w:r>
              <w:rPr>
                <w:rFonts w:hint="eastAsia"/>
                <w:bCs/>
                <w:szCs w:val="20"/>
                <w:lang w:val="en-GB"/>
              </w:rPr>
              <w:t>.</w:t>
            </w:r>
            <w:r>
              <w:rPr>
                <w:bCs/>
                <w:szCs w:val="20"/>
                <w:lang w:val="en-GB"/>
              </w:rPr>
              <w:t>6</w:t>
            </w:r>
            <w:r>
              <w:rPr>
                <w:rFonts w:hint="eastAsia"/>
                <w:bCs/>
                <w:szCs w:val="20"/>
                <w:lang w:val="en-GB"/>
              </w:rPr>
              <w:t>g/m³-产品，项目年产</w:t>
            </w:r>
            <w:r>
              <w:rPr>
                <w:bCs/>
                <w:szCs w:val="20"/>
                <w:lang w:val="en-GB"/>
              </w:rPr>
              <w:t>8</w:t>
            </w:r>
            <w:r>
              <w:rPr>
                <w:rFonts w:hint="eastAsia"/>
                <w:bCs/>
                <w:szCs w:val="20"/>
                <w:lang w:val="en-GB"/>
              </w:rPr>
              <w:t>万方刨花板，由此拌胶、热压、定型产生的废气量为</w:t>
            </w:r>
            <w:r>
              <w:rPr>
                <w:bCs/>
                <w:szCs w:val="20"/>
                <w:lang w:val="en-GB"/>
              </w:rPr>
              <w:t>3</w:t>
            </w:r>
            <w:r>
              <w:rPr>
                <w:rFonts w:hint="eastAsia"/>
                <w:bCs/>
                <w:szCs w:val="20"/>
                <w:lang w:val="en-GB"/>
              </w:rPr>
              <w:t>.</w:t>
            </w:r>
            <w:r>
              <w:rPr>
                <w:bCs/>
                <w:szCs w:val="20"/>
                <w:lang w:val="en-GB"/>
              </w:rPr>
              <w:t>744</w:t>
            </w:r>
            <w:r>
              <w:rPr>
                <w:rFonts w:hint="eastAsia"/>
                <w:bCs/>
                <w:szCs w:val="20"/>
                <w:lang w:val="en-GB"/>
              </w:rPr>
              <w:t>t/a。</w:t>
            </w:r>
          </w:p>
          <w:p>
            <w:pPr>
              <w:adjustRightInd w:val="0"/>
              <w:spacing w:line="360" w:lineRule="auto"/>
              <w:ind w:firstLine="480" w:firstLineChars="200"/>
              <w:textAlignment w:val="baseline"/>
              <w:rPr>
                <w:bCs/>
                <w:szCs w:val="20"/>
              </w:rPr>
            </w:pPr>
            <w:r>
              <w:rPr>
                <w:rFonts w:hint="eastAsia"/>
                <w:bCs/>
                <w:szCs w:val="20"/>
                <w:lang w:val="en-GB"/>
              </w:rPr>
              <w:t>甲醛：</w:t>
            </w:r>
            <w:r>
              <w:rPr>
                <w:rFonts w:hint="eastAsia"/>
                <w:bCs/>
                <w:szCs w:val="20"/>
              </w:rPr>
              <w:t>本项目涂胶过程中使用脲醛树脂胶，甲醛产生量根据《年产22万立方米定向刨花板生产线项目竣工环境保护验收监测报告》（环科检测字〔2020〕第 0513 号），验收监测期间现有工程生产负荷为 85~87%，热压工序甲醛废气量8</w:t>
            </w:r>
            <w:r>
              <w:rPr>
                <w:bCs/>
                <w:szCs w:val="20"/>
              </w:rPr>
              <w:t>7469</w:t>
            </w:r>
            <w:r>
              <w:rPr>
                <w:rFonts w:hint="eastAsia"/>
                <w:bCs/>
                <w:szCs w:val="20"/>
              </w:rPr>
              <w:t>m</w:t>
            </w:r>
            <w:r>
              <w:rPr>
                <w:bCs/>
                <w:szCs w:val="20"/>
                <w:vertAlign w:val="superscript"/>
              </w:rPr>
              <w:t>3</w:t>
            </w:r>
            <w:r>
              <w:rPr>
                <w:bCs/>
                <w:szCs w:val="20"/>
              </w:rPr>
              <w:t>/h</w:t>
            </w:r>
            <w:r>
              <w:rPr>
                <w:rFonts w:hint="eastAsia"/>
                <w:bCs/>
                <w:szCs w:val="20"/>
              </w:rPr>
              <w:t>，产生浓度0</w:t>
            </w:r>
            <w:r>
              <w:rPr>
                <w:bCs/>
                <w:szCs w:val="20"/>
              </w:rPr>
              <w:t>.38mg</w:t>
            </w:r>
            <w:r>
              <w:rPr>
                <w:rFonts w:hint="eastAsia"/>
                <w:bCs/>
                <w:szCs w:val="20"/>
              </w:rPr>
              <w:t>/</w:t>
            </w:r>
            <w:r>
              <w:rPr>
                <w:bCs/>
                <w:szCs w:val="20"/>
              </w:rPr>
              <w:t>m</w:t>
            </w:r>
            <w:r>
              <w:rPr>
                <w:rFonts w:hint="eastAsia"/>
                <w:bCs/>
                <w:szCs w:val="20"/>
                <w:vertAlign w:val="superscript"/>
              </w:rPr>
              <w:t>3</w:t>
            </w:r>
            <w:r>
              <w:rPr>
                <w:rFonts w:hint="eastAsia"/>
                <w:bCs/>
                <w:szCs w:val="20"/>
              </w:rPr>
              <w:t>，产生速率0.</w:t>
            </w:r>
            <w:r>
              <w:rPr>
                <w:bCs/>
                <w:szCs w:val="20"/>
              </w:rPr>
              <w:t>033</w:t>
            </w:r>
            <w:r>
              <w:rPr>
                <w:rFonts w:hint="eastAsia"/>
                <w:bCs/>
                <w:szCs w:val="20"/>
              </w:rPr>
              <w:t>kg</w:t>
            </w:r>
            <w:r>
              <w:rPr>
                <w:bCs/>
                <w:szCs w:val="20"/>
              </w:rPr>
              <w:t>/</w:t>
            </w:r>
            <w:r>
              <w:rPr>
                <w:rFonts w:hint="eastAsia"/>
                <w:bCs/>
                <w:szCs w:val="20"/>
              </w:rPr>
              <w:t>h，通过计算可知满负荷产生量约为0.</w:t>
            </w:r>
            <w:r>
              <w:rPr>
                <w:bCs/>
                <w:szCs w:val="20"/>
              </w:rPr>
              <w:t>095</w:t>
            </w:r>
            <w:r>
              <w:rPr>
                <w:rFonts w:hint="eastAsia"/>
                <w:bCs/>
                <w:szCs w:val="20"/>
              </w:rPr>
              <w:t>t</w:t>
            </w:r>
            <w:r>
              <w:rPr>
                <w:bCs/>
                <w:szCs w:val="20"/>
              </w:rPr>
              <w:t>/a</w:t>
            </w:r>
            <w:r>
              <w:rPr>
                <w:rFonts w:hint="eastAsia"/>
                <w:bCs/>
                <w:szCs w:val="20"/>
              </w:rPr>
              <w:t>。本项目年产8万方定向刨花板，则甲醛产生量约为0.</w:t>
            </w:r>
            <w:r>
              <w:rPr>
                <w:bCs/>
                <w:szCs w:val="20"/>
              </w:rPr>
              <w:t>035</w:t>
            </w:r>
            <w:r>
              <w:rPr>
                <w:rFonts w:hint="eastAsia"/>
                <w:bCs/>
                <w:szCs w:val="20"/>
              </w:rPr>
              <w:t>t</w:t>
            </w:r>
            <w:r>
              <w:rPr>
                <w:bCs/>
                <w:szCs w:val="20"/>
              </w:rPr>
              <w:t>/a</w:t>
            </w:r>
            <w:r>
              <w:rPr>
                <w:rFonts w:hint="eastAsia"/>
                <w:bCs/>
                <w:szCs w:val="20"/>
              </w:rPr>
              <w:t>。</w:t>
            </w:r>
          </w:p>
          <w:p>
            <w:pPr>
              <w:spacing w:line="360" w:lineRule="auto"/>
              <w:ind w:firstLine="482" w:firstLineChars="200"/>
              <w:rPr>
                <w:b/>
                <w:bCs/>
                <w:lang w:val="en-GB"/>
              </w:rPr>
            </w:pPr>
            <w:r>
              <w:rPr>
                <w:rFonts w:hint="eastAsia"/>
                <w:b/>
                <w:bCs/>
                <w:lang w:val="en-GB"/>
              </w:rPr>
              <w:t>2</w:t>
            </w:r>
            <w:r>
              <w:rPr>
                <w:b/>
                <w:bCs/>
                <w:lang w:val="en-GB"/>
              </w:rPr>
              <w:t>、</w:t>
            </w:r>
            <w:r>
              <w:rPr>
                <w:rFonts w:hint="eastAsia"/>
                <w:b/>
                <w:bCs/>
                <w:lang w:val="en-GB"/>
              </w:rPr>
              <w:t>治理措施及排放情况</w:t>
            </w:r>
          </w:p>
          <w:p>
            <w:pPr>
              <w:adjustRightInd w:val="0"/>
              <w:snapToGrid w:val="0"/>
              <w:spacing w:line="360" w:lineRule="auto"/>
              <w:ind w:firstLine="480" w:firstLineChars="200"/>
              <w:textAlignment w:val="baseline"/>
              <w:rPr>
                <w:bCs/>
              </w:rPr>
            </w:pPr>
            <w:r>
              <w:rPr>
                <w:rFonts w:hint="eastAsia"/>
                <w:bCs/>
              </w:rPr>
              <w:t>①干燥废气</w:t>
            </w:r>
          </w:p>
          <w:p>
            <w:pPr>
              <w:adjustRightInd w:val="0"/>
              <w:spacing w:line="360" w:lineRule="auto"/>
              <w:ind w:firstLine="480" w:firstLineChars="200"/>
              <w:textAlignment w:val="baseline"/>
              <w:rPr>
                <w:bCs/>
                <w:szCs w:val="20"/>
                <w:lang w:val="en-GB"/>
              </w:rPr>
            </w:pPr>
            <w:r>
              <w:rPr>
                <w:rFonts w:hint="eastAsia"/>
                <w:bCs/>
                <w:szCs w:val="20"/>
                <w:lang w:val="en-GB"/>
              </w:rPr>
              <w:t>干燥过程产生的废气，主要成分为颗粒物和VOCs，分别经2套脉冲袋式除尘器处理后由排气筒DA002排放；根据上述计算可得，风量为7</w:t>
            </w:r>
            <w:r>
              <w:rPr>
                <w:bCs/>
                <w:szCs w:val="20"/>
                <w:lang w:val="en-GB"/>
              </w:rPr>
              <w:t>734</w:t>
            </w:r>
            <w:r>
              <w:rPr>
                <w:rFonts w:hint="eastAsia"/>
                <w:bCs/>
                <w:szCs w:val="20"/>
                <w:lang w:val="en-GB"/>
              </w:rPr>
              <w:t>m</w:t>
            </w:r>
            <w:r>
              <w:rPr>
                <w:bCs/>
                <w:szCs w:val="20"/>
                <w:vertAlign w:val="superscript"/>
                <w:lang w:val="en-GB"/>
              </w:rPr>
              <w:t>3</w:t>
            </w:r>
            <w:r>
              <w:rPr>
                <w:bCs/>
                <w:szCs w:val="20"/>
                <w:lang w:val="en-GB"/>
              </w:rPr>
              <w:t>/h</w:t>
            </w:r>
            <w:r>
              <w:rPr>
                <w:rFonts w:hint="eastAsia"/>
                <w:bCs/>
                <w:szCs w:val="20"/>
                <w:lang w:val="en-GB"/>
              </w:rPr>
              <w:t>，袋式除尘器处理效率取9</w:t>
            </w:r>
            <w:r>
              <w:rPr>
                <w:bCs/>
                <w:szCs w:val="20"/>
                <w:lang w:val="en-GB"/>
              </w:rPr>
              <w:t>9</w:t>
            </w:r>
            <w:r>
              <w:rPr>
                <w:rFonts w:hint="eastAsia"/>
                <w:bCs/>
                <w:szCs w:val="20"/>
                <w:lang w:val="en-GB"/>
              </w:rPr>
              <w:t>%，则排气筒DA</w:t>
            </w:r>
            <w:r>
              <w:rPr>
                <w:bCs/>
                <w:szCs w:val="20"/>
                <w:lang w:val="en-GB"/>
              </w:rPr>
              <w:t>002</w:t>
            </w:r>
            <w:r>
              <w:rPr>
                <w:rFonts w:hint="eastAsia"/>
                <w:bCs/>
                <w:szCs w:val="20"/>
                <w:lang w:val="en-GB"/>
              </w:rPr>
              <w:t>粉尘排放量为0.</w:t>
            </w:r>
            <w:r>
              <w:rPr>
                <w:bCs/>
                <w:szCs w:val="20"/>
                <w:lang w:val="en-GB"/>
              </w:rPr>
              <w:t>1376</w:t>
            </w:r>
            <w:r>
              <w:rPr>
                <w:rFonts w:hint="eastAsia"/>
                <w:bCs/>
                <w:szCs w:val="20"/>
                <w:lang w:val="en-GB"/>
              </w:rPr>
              <w:t>t</w:t>
            </w:r>
            <w:r>
              <w:rPr>
                <w:bCs/>
                <w:szCs w:val="20"/>
                <w:lang w:val="en-GB"/>
              </w:rPr>
              <w:t>/a</w:t>
            </w:r>
            <w:r>
              <w:rPr>
                <w:rFonts w:hint="eastAsia"/>
                <w:bCs/>
                <w:szCs w:val="20"/>
                <w:lang w:val="en-GB"/>
              </w:rPr>
              <w:t>，排放速率为0.</w:t>
            </w:r>
            <w:r>
              <w:rPr>
                <w:bCs/>
                <w:szCs w:val="20"/>
                <w:lang w:val="en-GB"/>
              </w:rPr>
              <w:t>0574</w:t>
            </w:r>
            <w:r>
              <w:rPr>
                <w:rFonts w:hint="eastAsia"/>
                <w:bCs/>
                <w:szCs w:val="20"/>
                <w:lang w:val="en-GB"/>
              </w:rPr>
              <w:t>kg/</w:t>
            </w:r>
            <w:r>
              <w:rPr>
                <w:bCs/>
                <w:szCs w:val="20"/>
                <w:lang w:val="en-GB"/>
              </w:rPr>
              <w:t>h</w:t>
            </w:r>
            <w:r>
              <w:rPr>
                <w:rFonts w:hint="eastAsia"/>
                <w:bCs/>
                <w:szCs w:val="20"/>
                <w:lang w:val="en-GB"/>
              </w:rPr>
              <w:t>，排放浓度为7.</w:t>
            </w:r>
            <w:r>
              <w:rPr>
                <w:bCs/>
                <w:szCs w:val="20"/>
                <w:lang w:val="en-GB"/>
              </w:rPr>
              <w:t>42</w:t>
            </w:r>
            <w:r>
              <w:rPr>
                <w:rFonts w:hint="eastAsia"/>
                <w:bCs/>
                <w:szCs w:val="20"/>
                <w:lang w:val="en-GB"/>
              </w:rPr>
              <w:t>mg</w:t>
            </w:r>
            <w:r>
              <w:rPr>
                <w:bCs/>
                <w:szCs w:val="20"/>
                <w:lang w:val="en-GB"/>
              </w:rPr>
              <w:t>/m</w:t>
            </w:r>
            <w:r>
              <w:rPr>
                <w:bCs/>
                <w:szCs w:val="20"/>
                <w:vertAlign w:val="superscript"/>
                <w:lang w:val="en-GB"/>
              </w:rPr>
              <w:t>3</w:t>
            </w:r>
            <w:r>
              <w:rPr>
                <w:rFonts w:hint="eastAsia"/>
                <w:bCs/>
                <w:szCs w:val="20"/>
                <w:lang w:val="en-GB"/>
              </w:rPr>
              <w:t>；VOCs排放量为</w:t>
            </w:r>
            <w:r>
              <w:rPr>
                <w:bCs/>
                <w:szCs w:val="20"/>
                <w:lang w:val="en-GB"/>
              </w:rPr>
              <w:t>0</w:t>
            </w:r>
            <w:r>
              <w:rPr>
                <w:rFonts w:hint="eastAsia"/>
                <w:bCs/>
                <w:szCs w:val="20"/>
                <w:lang w:val="en-GB"/>
              </w:rPr>
              <w:t>.</w:t>
            </w:r>
            <w:r>
              <w:rPr>
                <w:bCs/>
                <w:szCs w:val="20"/>
                <w:lang w:val="en-GB"/>
              </w:rPr>
              <w:t>032</w:t>
            </w:r>
            <w:r>
              <w:rPr>
                <w:rFonts w:hint="eastAsia"/>
                <w:bCs/>
                <w:szCs w:val="20"/>
                <w:lang w:val="en-GB"/>
              </w:rPr>
              <w:t>t</w:t>
            </w:r>
            <w:r>
              <w:rPr>
                <w:bCs/>
                <w:szCs w:val="20"/>
                <w:lang w:val="en-GB"/>
              </w:rPr>
              <w:t>/a</w:t>
            </w:r>
            <w:r>
              <w:rPr>
                <w:rFonts w:hint="eastAsia"/>
                <w:bCs/>
                <w:szCs w:val="20"/>
                <w:lang w:val="en-GB"/>
              </w:rPr>
              <w:t>，排放速率为0.</w:t>
            </w:r>
            <w:r>
              <w:rPr>
                <w:bCs/>
                <w:szCs w:val="20"/>
                <w:lang w:val="en-GB"/>
              </w:rPr>
              <w:t>0134</w:t>
            </w:r>
            <w:r>
              <w:rPr>
                <w:rFonts w:hint="eastAsia"/>
                <w:bCs/>
                <w:szCs w:val="20"/>
                <w:lang w:val="en-GB"/>
              </w:rPr>
              <w:t>kg/</w:t>
            </w:r>
            <w:r>
              <w:rPr>
                <w:bCs/>
                <w:szCs w:val="20"/>
                <w:lang w:val="en-GB"/>
              </w:rPr>
              <w:t>h</w:t>
            </w:r>
            <w:r>
              <w:rPr>
                <w:rFonts w:hint="eastAsia"/>
                <w:bCs/>
                <w:szCs w:val="20"/>
                <w:lang w:val="en-GB"/>
              </w:rPr>
              <w:t>，排放浓度为</w:t>
            </w:r>
            <w:r>
              <w:rPr>
                <w:bCs/>
                <w:szCs w:val="20"/>
                <w:lang w:val="en-GB"/>
              </w:rPr>
              <w:t>1</w:t>
            </w:r>
            <w:r>
              <w:rPr>
                <w:rFonts w:hint="eastAsia"/>
                <w:bCs/>
                <w:szCs w:val="20"/>
                <w:lang w:val="en-GB"/>
              </w:rPr>
              <w:t>.</w:t>
            </w:r>
            <w:r>
              <w:rPr>
                <w:bCs/>
                <w:szCs w:val="20"/>
                <w:lang w:val="en-GB"/>
              </w:rPr>
              <w:t>733</w:t>
            </w:r>
            <w:r>
              <w:rPr>
                <w:rFonts w:hint="eastAsia"/>
                <w:bCs/>
                <w:szCs w:val="20"/>
                <w:lang w:val="en-GB"/>
              </w:rPr>
              <w:t>mg</w:t>
            </w:r>
            <w:r>
              <w:rPr>
                <w:bCs/>
                <w:szCs w:val="20"/>
                <w:lang w:val="en-GB"/>
              </w:rPr>
              <w:t>/m</w:t>
            </w:r>
            <w:r>
              <w:rPr>
                <w:bCs/>
                <w:szCs w:val="20"/>
                <w:vertAlign w:val="superscript"/>
                <w:lang w:val="en-GB"/>
              </w:rPr>
              <w:t>3</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②刨片、筛分、锯边、截边废气</w:t>
            </w:r>
          </w:p>
          <w:p>
            <w:pPr>
              <w:adjustRightInd w:val="0"/>
              <w:spacing w:line="360" w:lineRule="auto"/>
              <w:ind w:firstLine="480" w:firstLineChars="200"/>
              <w:textAlignment w:val="baseline"/>
              <w:rPr>
                <w:bCs/>
                <w:szCs w:val="20"/>
                <w:lang w:val="en-GB"/>
              </w:rPr>
            </w:pPr>
            <w:r>
              <w:rPr>
                <w:rFonts w:hint="eastAsia"/>
                <w:bCs/>
                <w:szCs w:val="20"/>
                <w:lang w:val="en-GB"/>
              </w:rPr>
              <w:t>刨片筛分工序产生颗粒物经2套集气罩+1套“旋风除尘+脉冲袋式除尘器”处理；锯边工序颗粒物经1套集气罩+1套“旋风除尘+脉冲袋式除尘器”处理；截边工序颗粒物经1套集气罩+1套“旋风除尘+脉冲袋式除尘器”处理；</w:t>
            </w:r>
          </w:p>
          <w:p>
            <w:pPr>
              <w:adjustRightInd w:val="0"/>
              <w:spacing w:line="360" w:lineRule="auto"/>
              <w:ind w:firstLine="480" w:firstLineChars="200"/>
              <w:textAlignment w:val="baseline"/>
              <w:rPr>
                <w:bCs/>
                <w:szCs w:val="20"/>
                <w:lang w:val="en-GB"/>
              </w:rPr>
            </w:pPr>
            <w:r>
              <w:rPr>
                <w:rFonts w:hint="eastAsia"/>
                <w:bCs/>
                <w:szCs w:val="20"/>
                <w:lang w:val="en-GB"/>
              </w:rPr>
              <w:t>上述废气经处理后合并引至现有排气筒DA004排放；</w:t>
            </w:r>
          </w:p>
          <w:p>
            <w:pPr>
              <w:adjustRightInd w:val="0"/>
              <w:spacing w:line="360" w:lineRule="auto"/>
              <w:ind w:firstLine="480" w:firstLineChars="200"/>
              <w:textAlignment w:val="baseline"/>
              <w:rPr>
                <w:bCs/>
                <w:szCs w:val="20"/>
                <w:lang w:val="en-GB"/>
              </w:rPr>
            </w:pPr>
            <w:r>
              <w:rPr>
                <w:rFonts w:hint="eastAsia"/>
                <w:bCs/>
                <w:szCs w:val="20"/>
                <w:lang w:val="en-GB"/>
              </w:rPr>
              <w:t>根据上述计算可得，此部分废气风量为</w:t>
            </w:r>
            <w:r>
              <w:rPr>
                <w:bCs/>
                <w:szCs w:val="20"/>
                <w:lang w:val="en-GB"/>
              </w:rPr>
              <w:t>64267m</w:t>
            </w:r>
            <w:r>
              <w:rPr>
                <w:bCs/>
                <w:szCs w:val="20"/>
                <w:vertAlign w:val="superscript"/>
                <w:lang w:val="en-GB"/>
              </w:rPr>
              <w:t>3</w:t>
            </w:r>
            <w:r>
              <w:rPr>
                <w:bCs/>
                <w:szCs w:val="20"/>
                <w:lang w:val="en-GB"/>
              </w:rPr>
              <w:t>/h，</w:t>
            </w:r>
            <w:r>
              <w:rPr>
                <w:rFonts w:hint="eastAsia"/>
                <w:bCs/>
                <w:szCs w:val="20"/>
                <w:lang w:val="en-GB"/>
              </w:rPr>
              <w:t>集气罩收集效率9</w:t>
            </w:r>
            <w:r>
              <w:rPr>
                <w:bCs/>
                <w:szCs w:val="20"/>
                <w:lang w:val="en-GB"/>
              </w:rPr>
              <w:t>0</w:t>
            </w:r>
            <w:r>
              <w:rPr>
                <w:rFonts w:hint="eastAsia"/>
                <w:bCs/>
                <w:szCs w:val="20"/>
                <w:lang w:val="en-GB"/>
              </w:rPr>
              <w:t>%，旋风除尘+脉冲袋式除尘器</w:t>
            </w:r>
            <w:r>
              <w:rPr>
                <w:bCs/>
                <w:szCs w:val="20"/>
                <w:lang w:val="en-GB"/>
              </w:rPr>
              <w:t>处理效率取</w:t>
            </w:r>
            <w:r>
              <w:rPr>
                <w:rFonts w:hint="eastAsia"/>
                <w:bCs/>
                <w:szCs w:val="20"/>
                <w:lang w:val="en-GB"/>
              </w:rPr>
              <w:t>9</w:t>
            </w:r>
            <w:r>
              <w:rPr>
                <w:bCs/>
                <w:szCs w:val="20"/>
                <w:lang w:val="en-GB"/>
              </w:rPr>
              <w:t>8%</w:t>
            </w:r>
            <w:r>
              <w:rPr>
                <w:rFonts w:hint="eastAsia"/>
                <w:bCs/>
                <w:szCs w:val="20"/>
                <w:lang w:val="en-GB"/>
              </w:rPr>
              <w:t>（旋风除尘效率8</w:t>
            </w:r>
            <w:r>
              <w:rPr>
                <w:bCs/>
                <w:szCs w:val="20"/>
                <w:lang w:val="en-GB"/>
              </w:rPr>
              <w:t>0</w:t>
            </w:r>
            <w:r>
              <w:rPr>
                <w:rFonts w:hint="eastAsia"/>
                <w:bCs/>
                <w:szCs w:val="20"/>
                <w:lang w:val="en-GB"/>
              </w:rPr>
              <w:t>%与袋式除尘效率9</w:t>
            </w:r>
            <w:r>
              <w:rPr>
                <w:bCs/>
                <w:szCs w:val="20"/>
                <w:lang w:val="en-GB"/>
              </w:rPr>
              <w:t>0</w:t>
            </w:r>
            <w:r>
              <w:rPr>
                <w:rFonts w:hint="eastAsia"/>
                <w:bCs/>
                <w:szCs w:val="20"/>
                <w:lang w:val="en-GB"/>
              </w:rPr>
              <w:t>%并联）</w:t>
            </w:r>
            <w:r>
              <w:rPr>
                <w:bCs/>
                <w:szCs w:val="20"/>
                <w:lang w:val="en-GB"/>
              </w:rPr>
              <w:t>，则排气筒DA004粉尘排放</w:t>
            </w:r>
            <w:r>
              <w:rPr>
                <w:rFonts w:hint="eastAsia"/>
                <w:bCs/>
                <w:szCs w:val="20"/>
                <w:lang w:val="en-GB"/>
              </w:rPr>
              <w:t>量为</w:t>
            </w:r>
            <w:r>
              <w:rPr>
                <w:bCs/>
                <w:szCs w:val="20"/>
                <w:lang w:val="en-GB"/>
              </w:rPr>
              <w:t>3</w:t>
            </w:r>
            <w:r>
              <w:rPr>
                <w:rFonts w:hint="eastAsia"/>
                <w:bCs/>
                <w:szCs w:val="20"/>
                <w:lang w:val="en-GB"/>
              </w:rPr>
              <w:t>.</w:t>
            </w:r>
            <w:r>
              <w:rPr>
                <w:bCs/>
                <w:szCs w:val="20"/>
                <w:lang w:val="en-GB"/>
              </w:rPr>
              <w:t>1176t/a，排放</w:t>
            </w:r>
            <w:r>
              <w:rPr>
                <w:rFonts w:hint="eastAsia"/>
                <w:bCs/>
                <w:szCs w:val="20"/>
                <w:lang w:val="en-GB"/>
              </w:rPr>
              <w:t>速率</w:t>
            </w:r>
            <w:r>
              <w:rPr>
                <w:bCs/>
                <w:szCs w:val="20"/>
                <w:lang w:val="en-GB"/>
              </w:rPr>
              <w:t>为1</w:t>
            </w:r>
            <w:r>
              <w:rPr>
                <w:rFonts w:hint="eastAsia"/>
                <w:bCs/>
                <w:szCs w:val="20"/>
                <w:lang w:val="en-GB"/>
              </w:rPr>
              <w:t>.</w:t>
            </w:r>
            <w:r>
              <w:rPr>
                <w:bCs/>
                <w:szCs w:val="20"/>
                <w:lang w:val="en-GB"/>
              </w:rPr>
              <w:t>299kg</w:t>
            </w:r>
            <w:r>
              <w:rPr>
                <w:rFonts w:hint="eastAsia"/>
                <w:bCs/>
                <w:szCs w:val="20"/>
                <w:lang w:val="en-GB"/>
              </w:rPr>
              <w:t>/</w:t>
            </w:r>
            <w:r>
              <w:rPr>
                <w:bCs/>
                <w:szCs w:val="20"/>
                <w:lang w:val="en-GB"/>
              </w:rPr>
              <w:t>h，</w:t>
            </w:r>
            <w:r>
              <w:rPr>
                <w:rFonts w:hint="eastAsia"/>
                <w:bCs/>
                <w:szCs w:val="20"/>
                <w:lang w:val="en-GB"/>
              </w:rPr>
              <w:t>排放浓度为</w:t>
            </w:r>
            <w:r>
              <w:rPr>
                <w:bCs/>
                <w:szCs w:val="20"/>
                <w:lang w:val="en-GB"/>
              </w:rPr>
              <w:t>20</w:t>
            </w:r>
            <w:r>
              <w:rPr>
                <w:rFonts w:hint="eastAsia"/>
                <w:bCs/>
                <w:szCs w:val="20"/>
                <w:lang w:val="en-GB"/>
              </w:rPr>
              <w:t>.</w:t>
            </w:r>
            <w:r>
              <w:rPr>
                <w:bCs/>
                <w:szCs w:val="20"/>
                <w:lang w:val="en-GB"/>
              </w:rPr>
              <w:t>21mg/m</w:t>
            </w:r>
            <w:r>
              <w:rPr>
                <w:bCs/>
                <w:szCs w:val="20"/>
                <w:vertAlign w:val="superscript"/>
                <w:lang w:val="en-GB"/>
              </w:rPr>
              <w:t>3</w:t>
            </w:r>
            <w:r>
              <w:rPr>
                <w:bCs/>
                <w:szCs w:val="20"/>
                <w:lang w:val="en-GB"/>
              </w:rPr>
              <w:t xml:space="preserve">； </w:t>
            </w:r>
          </w:p>
          <w:p>
            <w:pPr>
              <w:adjustRightInd w:val="0"/>
              <w:spacing w:line="360" w:lineRule="auto"/>
              <w:ind w:firstLine="480" w:firstLineChars="200"/>
              <w:textAlignment w:val="baseline"/>
              <w:rPr>
                <w:bCs/>
                <w:szCs w:val="20"/>
                <w:lang w:val="en-GB"/>
              </w:rPr>
            </w:pPr>
            <w:r>
              <w:rPr>
                <w:rFonts w:hint="eastAsia"/>
                <w:bCs/>
                <w:szCs w:val="20"/>
                <w:lang w:val="en-GB"/>
              </w:rPr>
              <w:t>未被收集部分约为1</w:t>
            </w:r>
            <w:r>
              <w:rPr>
                <w:bCs/>
                <w:szCs w:val="20"/>
                <w:lang w:val="en-GB"/>
              </w:rPr>
              <w:t>0</w:t>
            </w:r>
            <w:r>
              <w:rPr>
                <w:rFonts w:hint="eastAsia"/>
                <w:bCs/>
                <w:szCs w:val="20"/>
                <w:lang w:val="en-GB"/>
              </w:rPr>
              <w:t>%，经车间密闭、自然沉降措施处理后，约5%以无组织形式排放，排放量为0.</w:t>
            </w:r>
            <w:r>
              <w:rPr>
                <w:bCs/>
                <w:szCs w:val="20"/>
                <w:lang w:val="en-GB"/>
              </w:rPr>
              <w:t>866</w:t>
            </w:r>
            <w:r>
              <w:rPr>
                <w:rFonts w:hint="eastAsia"/>
                <w:bCs/>
                <w:szCs w:val="20"/>
                <w:lang w:val="en-GB"/>
              </w:rPr>
              <w:t>t</w:t>
            </w:r>
            <w:r>
              <w:rPr>
                <w:bCs/>
                <w:szCs w:val="20"/>
                <w:lang w:val="en-GB"/>
              </w:rPr>
              <w:t>/a</w:t>
            </w:r>
            <w:r>
              <w:rPr>
                <w:rFonts w:hint="eastAsia"/>
                <w:bCs/>
                <w:szCs w:val="20"/>
                <w:lang w:val="en-GB"/>
              </w:rPr>
              <w:t>。</w:t>
            </w:r>
          </w:p>
          <w:p>
            <w:pPr>
              <w:adjustRightInd w:val="0"/>
              <w:spacing w:line="360" w:lineRule="auto"/>
              <w:ind w:firstLine="480" w:firstLineChars="200"/>
              <w:textAlignment w:val="baseline"/>
              <w:rPr>
                <w:bCs/>
                <w:szCs w:val="20"/>
                <w:lang w:val="en-GB"/>
              </w:rPr>
            </w:pPr>
            <w:r>
              <w:rPr>
                <w:rFonts w:hint="eastAsia"/>
                <w:bCs/>
                <w:szCs w:val="20"/>
                <w:lang w:val="en-GB"/>
              </w:rPr>
              <w:t>③施胶、铺装、预压、热压工序废气</w:t>
            </w:r>
          </w:p>
          <w:p>
            <w:pPr>
              <w:adjustRightInd w:val="0"/>
              <w:spacing w:line="360" w:lineRule="auto"/>
              <w:ind w:firstLine="480" w:firstLineChars="200"/>
              <w:textAlignment w:val="baseline"/>
              <w:rPr>
                <w:bCs/>
                <w:szCs w:val="20"/>
                <w:lang w:val="en-GB"/>
              </w:rPr>
            </w:pPr>
            <w:r>
              <w:rPr>
                <w:rFonts w:hint="eastAsia"/>
                <w:bCs/>
                <w:szCs w:val="20"/>
                <w:lang w:val="en-GB"/>
              </w:rPr>
              <w:t>施胶、铺装、预压、热压工序产生的VOCs和甲醛，经4套集气罩+1套“RTO蓄热式焚烧炉”处理后经现有排气筒DA005排放；</w:t>
            </w:r>
            <w:r>
              <w:rPr>
                <w:bCs/>
                <w:szCs w:val="20"/>
                <w:lang w:val="en-GB"/>
              </w:rPr>
              <w:t xml:space="preserve"> </w:t>
            </w:r>
          </w:p>
          <w:p>
            <w:pPr>
              <w:adjustRightInd w:val="0"/>
              <w:snapToGrid w:val="0"/>
              <w:spacing w:line="360" w:lineRule="auto"/>
              <w:ind w:firstLine="480" w:firstLineChars="200"/>
              <w:textAlignment w:val="baseline"/>
              <w:rPr>
                <w:bCs/>
                <w:lang w:val="en-GB"/>
              </w:rPr>
            </w:pPr>
            <w:r>
              <w:rPr>
                <w:rFonts w:hint="eastAsia"/>
                <w:bCs/>
                <w:lang w:val="en-GB"/>
              </w:rPr>
              <w:t>根据上述计算可得，此部分废气风量为</w:t>
            </w:r>
            <w:r>
              <w:rPr>
                <w:bCs/>
                <w:lang w:val="en-GB"/>
              </w:rPr>
              <w:t>14716m</w:t>
            </w:r>
            <w:r>
              <w:rPr>
                <w:bCs/>
                <w:vertAlign w:val="superscript"/>
                <w:lang w:val="en-GB"/>
              </w:rPr>
              <w:t>3</w:t>
            </w:r>
            <w:r>
              <w:rPr>
                <w:bCs/>
                <w:lang w:val="en-GB"/>
              </w:rPr>
              <w:t>/h，集气罩</w:t>
            </w:r>
            <w:r>
              <w:rPr>
                <w:rFonts w:hint="eastAsia"/>
                <w:bCs/>
                <w:lang w:val="en-GB"/>
              </w:rPr>
              <w:t>收集效率9</w:t>
            </w:r>
            <w:r>
              <w:rPr>
                <w:bCs/>
                <w:lang w:val="en-GB"/>
              </w:rPr>
              <w:t>0%，</w:t>
            </w:r>
            <w:r>
              <w:rPr>
                <w:rFonts w:hint="eastAsia"/>
                <w:bCs/>
                <w:lang w:val="en-GB"/>
              </w:rPr>
              <w:t>RTO蓄热式焚烧炉</w:t>
            </w:r>
            <w:r>
              <w:rPr>
                <w:bCs/>
                <w:lang w:val="en-GB"/>
              </w:rPr>
              <w:t>处理效率取85%，则排气筒DA004</w:t>
            </w:r>
            <w:r>
              <w:rPr>
                <w:rFonts w:hint="eastAsia"/>
                <w:bCs/>
                <w:lang w:val="en-GB"/>
              </w:rPr>
              <w:t>VOCs</w:t>
            </w:r>
            <w:r>
              <w:rPr>
                <w:bCs/>
                <w:lang w:val="en-GB"/>
              </w:rPr>
              <w:t>排放</w:t>
            </w:r>
            <w:r>
              <w:rPr>
                <w:rFonts w:hint="eastAsia"/>
                <w:bCs/>
                <w:lang w:val="en-GB"/>
              </w:rPr>
              <w:t>量为0.</w:t>
            </w:r>
            <w:r>
              <w:rPr>
                <w:bCs/>
                <w:lang w:val="en-GB"/>
              </w:rPr>
              <w:t>5054t/a，排放</w:t>
            </w:r>
            <w:r>
              <w:rPr>
                <w:rFonts w:hint="eastAsia"/>
                <w:bCs/>
                <w:lang w:val="en-GB"/>
              </w:rPr>
              <w:t>速率</w:t>
            </w:r>
            <w:r>
              <w:rPr>
                <w:bCs/>
                <w:lang w:val="en-GB"/>
              </w:rPr>
              <w:t>为0</w:t>
            </w:r>
            <w:r>
              <w:rPr>
                <w:rFonts w:hint="eastAsia"/>
                <w:bCs/>
                <w:lang w:val="en-GB"/>
              </w:rPr>
              <w:t>.</w:t>
            </w:r>
            <w:r>
              <w:rPr>
                <w:bCs/>
                <w:lang w:val="en-GB"/>
              </w:rPr>
              <w:t>211kg</w:t>
            </w:r>
            <w:r>
              <w:rPr>
                <w:rFonts w:hint="eastAsia"/>
                <w:bCs/>
                <w:lang w:val="en-GB"/>
              </w:rPr>
              <w:t>/</w:t>
            </w:r>
            <w:r>
              <w:rPr>
                <w:bCs/>
                <w:lang w:val="en-GB"/>
              </w:rPr>
              <w:t>h，</w:t>
            </w:r>
            <w:r>
              <w:rPr>
                <w:rFonts w:hint="eastAsia"/>
                <w:bCs/>
                <w:lang w:val="en-GB"/>
              </w:rPr>
              <w:t>排放浓度为</w:t>
            </w:r>
            <w:r>
              <w:rPr>
                <w:bCs/>
                <w:lang w:val="en-GB"/>
              </w:rPr>
              <w:t>14</w:t>
            </w:r>
            <w:r>
              <w:rPr>
                <w:rFonts w:hint="eastAsia"/>
                <w:bCs/>
                <w:lang w:val="en-GB"/>
              </w:rPr>
              <w:t>.</w:t>
            </w:r>
            <w:r>
              <w:rPr>
                <w:bCs/>
                <w:lang w:val="en-GB"/>
              </w:rPr>
              <w:t>34mg/m</w:t>
            </w:r>
            <w:r>
              <w:rPr>
                <w:bCs/>
                <w:vertAlign w:val="superscript"/>
                <w:lang w:val="en-GB"/>
              </w:rPr>
              <w:t>3</w:t>
            </w:r>
            <w:r>
              <w:rPr>
                <w:bCs/>
                <w:lang w:val="en-GB"/>
              </w:rPr>
              <w:t>；</w:t>
            </w:r>
            <w:r>
              <w:rPr>
                <w:rFonts w:hint="eastAsia"/>
                <w:bCs/>
                <w:lang w:val="en-GB"/>
              </w:rPr>
              <w:t>甲醛</w:t>
            </w:r>
            <w:r>
              <w:rPr>
                <w:bCs/>
                <w:lang w:val="en-GB"/>
              </w:rPr>
              <w:t>排放</w:t>
            </w:r>
            <w:r>
              <w:rPr>
                <w:rFonts w:hint="eastAsia"/>
                <w:bCs/>
                <w:lang w:val="en-GB"/>
              </w:rPr>
              <w:t>量为</w:t>
            </w:r>
            <w:r>
              <w:rPr>
                <w:bCs/>
                <w:lang w:val="en-GB"/>
              </w:rPr>
              <w:t>0</w:t>
            </w:r>
            <w:r>
              <w:rPr>
                <w:rFonts w:hint="eastAsia"/>
                <w:bCs/>
                <w:lang w:val="en-GB"/>
              </w:rPr>
              <w:t>.</w:t>
            </w:r>
            <w:r>
              <w:rPr>
                <w:bCs/>
                <w:lang w:val="en-GB"/>
              </w:rPr>
              <w:t>004725t/a，排放</w:t>
            </w:r>
            <w:r>
              <w:rPr>
                <w:rFonts w:hint="eastAsia"/>
                <w:bCs/>
                <w:lang w:val="en-GB"/>
              </w:rPr>
              <w:t>速率</w:t>
            </w:r>
            <w:r>
              <w:rPr>
                <w:bCs/>
                <w:lang w:val="en-GB"/>
              </w:rPr>
              <w:t>为0</w:t>
            </w:r>
            <w:r>
              <w:rPr>
                <w:rFonts w:hint="eastAsia"/>
                <w:bCs/>
                <w:lang w:val="en-GB"/>
              </w:rPr>
              <w:t>.</w:t>
            </w:r>
            <w:r>
              <w:rPr>
                <w:bCs/>
                <w:lang w:val="en-GB"/>
              </w:rPr>
              <w:t>00197kg</w:t>
            </w:r>
            <w:r>
              <w:rPr>
                <w:rFonts w:hint="eastAsia"/>
                <w:bCs/>
                <w:lang w:val="en-GB"/>
              </w:rPr>
              <w:t>/</w:t>
            </w:r>
            <w:r>
              <w:rPr>
                <w:bCs/>
                <w:lang w:val="en-GB"/>
              </w:rPr>
              <w:t>h，</w:t>
            </w:r>
            <w:r>
              <w:rPr>
                <w:rFonts w:hint="eastAsia"/>
                <w:bCs/>
                <w:lang w:val="en-GB"/>
              </w:rPr>
              <w:t>排放浓度为</w:t>
            </w:r>
            <w:r>
              <w:rPr>
                <w:bCs/>
                <w:lang w:val="en-GB"/>
              </w:rPr>
              <w:t>0</w:t>
            </w:r>
            <w:r>
              <w:rPr>
                <w:rFonts w:hint="eastAsia"/>
                <w:bCs/>
                <w:lang w:val="en-GB"/>
              </w:rPr>
              <w:t>.</w:t>
            </w:r>
            <w:r>
              <w:rPr>
                <w:bCs/>
                <w:lang w:val="en-GB"/>
              </w:rPr>
              <w:t>134mg/m</w:t>
            </w:r>
            <w:r>
              <w:rPr>
                <w:bCs/>
                <w:vertAlign w:val="superscript"/>
                <w:lang w:val="en-GB"/>
              </w:rPr>
              <w:t>3</w:t>
            </w:r>
            <w:r>
              <w:rPr>
                <w:bCs/>
                <w:lang w:val="en-GB"/>
              </w:rPr>
              <w:t xml:space="preserve">； </w:t>
            </w:r>
          </w:p>
          <w:p>
            <w:pPr>
              <w:adjustRightInd w:val="0"/>
              <w:snapToGrid w:val="0"/>
              <w:spacing w:line="360" w:lineRule="auto"/>
              <w:ind w:firstLine="480" w:firstLineChars="200"/>
              <w:textAlignment w:val="baseline"/>
              <w:rPr>
                <w:bCs/>
              </w:rPr>
            </w:pPr>
            <w:r>
              <w:rPr>
                <w:bCs/>
                <w:lang w:val="en-GB"/>
              </w:rPr>
              <w:t>未被收集部分</w:t>
            </w:r>
            <w:r>
              <w:rPr>
                <w:rFonts w:hint="eastAsia"/>
                <w:bCs/>
                <w:lang w:val="en-GB"/>
              </w:rPr>
              <w:t>约为1</w:t>
            </w:r>
            <w:r>
              <w:rPr>
                <w:bCs/>
                <w:lang w:val="en-GB"/>
              </w:rPr>
              <w:t>0%，经车间密闭措施处理后</w:t>
            </w:r>
            <w:r>
              <w:rPr>
                <w:rFonts w:hint="eastAsia"/>
                <w:bCs/>
                <w:lang w:val="en-GB"/>
              </w:rPr>
              <w:t>，约</w:t>
            </w:r>
            <w:r>
              <w:rPr>
                <w:bCs/>
                <w:lang w:val="en-GB"/>
              </w:rPr>
              <w:t>40%</w:t>
            </w:r>
            <w:r>
              <w:rPr>
                <w:rFonts w:hint="eastAsia"/>
                <w:bCs/>
                <w:lang w:val="en-GB"/>
              </w:rPr>
              <w:t>以无组织形式排放，排放量为VOCs</w:t>
            </w:r>
            <w:r>
              <w:rPr>
                <w:bCs/>
                <w:lang w:val="en-GB"/>
              </w:rPr>
              <w:t xml:space="preserve"> </w:t>
            </w:r>
            <w:r>
              <w:rPr>
                <w:rFonts w:hint="eastAsia"/>
                <w:bCs/>
                <w:lang w:val="en-GB"/>
              </w:rPr>
              <w:t>0</w:t>
            </w:r>
            <w:r>
              <w:rPr>
                <w:bCs/>
                <w:lang w:val="en-GB"/>
              </w:rPr>
              <w:t>.15t/a</w:t>
            </w:r>
            <w:r>
              <w:rPr>
                <w:rFonts w:hint="eastAsia"/>
                <w:bCs/>
                <w:lang w:val="en-GB"/>
              </w:rPr>
              <w:t>，甲醛0.</w:t>
            </w:r>
            <w:r>
              <w:rPr>
                <w:bCs/>
                <w:lang w:val="en-GB"/>
              </w:rPr>
              <w:t>0035</w:t>
            </w:r>
            <w:r>
              <w:rPr>
                <w:rFonts w:hint="eastAsia"/>
                <w:bCs/>
                <w:lang w:val="en-GB"/>
              </w:rPr>
              <w:t>t</w:t>
            </w:r>
            <w:r>
              <w:rPr>
                <w:bCs/>
                <w:lang w:val="en-GB"/>
              </w:rPr>
              <w:t>/a</w:t>
            </w:r>
            <w:r>
              <w:rPr>
                <w:rFonts w:hint="eastAsia"/>
                <w:bCs/>
                <w:lang w:val="en-GB"/>
              </w:rPr>
              <w:t>。</w:t>
            </w:r>
          </w:p>
          <w:p>
            <w:pPr>
              <w:adjustRightInd w:val="0"/>
              <w:spacing w:line="360" w:lineRule="auto"/>
              <w:ind w:firstLine="480" w:firstLineChars="200"/>
              <w:jc w:val="left"/>
              <w:textAlignment w:val="baseline"/>
            </w:pPr>
            <w:r>
              <w:rPr>
                <w:rFonts w:hint="eastAsia"/>
              </w:rPr>
              <w:t>本项目废气收集处理示意图如下：</w:t>
            </w:r>
          </w:p>
          <w:p>
            <w:pPr>
              <w:adjustRightInd w:val="0"/>
              <w:snapToGrid w:val="0"/>
              <w:spacing w:line="360" w:lineRule="auto"/>
              <w:ind w:firstLine="480" w:firstLineChars="200"/>
              <w:textAlignment w:val="baseline"/>
            </w:pPr>
            <w:r>
              <w:object>
                <v:shape id="_x0000_i1027" o:spt="75" type="#_x0000_t75" style="height:295.5pt;width:384pt;" o:ole="t" filled="f" o:preferrelative="t" stroked="f" coordsize="21600,21600">
                  <v:path/>
                  <v:fill on="f" focussize="0,0"/>
                  <v:stroke on="f" joinstyle="miter"/>
                  <v:imagedata r:id="rId21" o:title=""/>
                  <o:lock v:ext="edit" aspectratio="t"/>
                  <w10:wrap type="none"/>
                  <w10:anchorlock/>
                </v:shape>
                <o:OLEObject Type="Embed" ProgID="Visio.Drawing.11" ShapeID="_x0000_i1027" DrawAspect="Content" ObjectID="_1468075727" r:id="rId20">
                  <o:LockedField>false</o:LockedField>
                </o:OLEObject>
              </w:object>
            </w:r>
          </w:p>
          <w:p>
            <w:pPr>
              <w:pStyle w:val="100"/>
            </w:pPr>
            <w:r>
              <w:rPr>
                <w:rFonts w:hint="eastAsia"/>
              </w:rPr>
              <w:t>图4-1   废气收集处理示意图</w:t>
            </w:r>
          </w:p>
          <w:p>
            <w:pPr>
              <w:spacing w:line="360" w:lineRule="auto"/>
              <w:ind w:firstLine="482" w:firstLineChars="200"/>
              <w:rPr>
                <w:bCs/>
                <w:lang w:val="en-GB"/>
              </w:rPr>
            </w:pPr>
            <w:r>
              <w:rPr>
                <w:rFonts w:hint="eastAsia"/>
                <w:b/>
                <w:bCs/>
                <w:lang w:val="en-GB"/>
              </w:rPr>
              <w:t>3</w:t>
            </w:r>
            <w:r>
              <w:rPr>
                <w:b/>
                <w:bCs/>
                <w:lang w:val="en-GB"/>
              </w:rPr>
              <w:t>、</w:t>
            </w:r>
            <w:r>
              <w:rPr>
                <w:rFonts w:hint="eastAsia"/>
                <w:b/>
                <w:bCs/>
                <w:lang w:val="en-GB"/>
              </w:rPr>
              <w:t>废气排放情况</w:t>
            </w:r>
          </w:p>
          <w:p>
            <w:pPr>
              <w:widowControl/>
              <w:spacing w:line="360" w:lineRule="auto"/>
              <w:ind w:firstLine="480" w:firstLineChars="200"/>
              <w:rPr>
                <w:bCs/>
              </w:rPr>
            </w:pPr>
            <w:r>
              <w:rPr>
                <w:rFonts w:hint="eastAsia"/>
                <w:bCs/>
                <w:lang w:val="zh-CN"/>
              </w:rPr>
              <w:t>根据现有工程分析内容</w:t>
            </w:r>
            <w:r>
              <w:rPr>
                <w:rFonts w:hint="eastAsia"/>
                <w:bCs/>
              </w:rPr>
              <w:t>及拟建项目核算结果</w:t>
            </w:r>
            <w:r>
              <w:rPr>
                <w:bCs/>
              </w:rPr>
              <w:t>，</w:t>
            </w:r>
            <w:r>
              <w:rPr>
                <w:rFonts w:hint="eastAsia"/>
                <w:bCs/>
              </w:rPr>
              <w:t>项目建成后废气</w:t>
            </w:r>
            <w:r>
              <w:rPr>
                <w:bCs/>
              </w:rPr>
              <w:t>污染物产生及排放情况见表</w:t>
            </w:r>
            <w:r>
              <w:rPr>
                <w:rFonts w:hint="eastAsia"/>
                <w:bCs/>
              </w:rPr>
              <w:t>4-</w:t>
            </w:r>
            <w:r>
              <w:rPr>
                <w:bCs/>
              </w:rPr>
              <w:t>1。</w:t>
            </w:r>
          </w:p>
          <w:p>
            <w:pPr>
              <w:spacing w:line="360" w:lineRule="auto"/>
              <w:ind w:firstLine="482" w:firstLineChars="200"/>
              <w:rPr>
                <w:b/>
                <w:lang w:val="en-GB"/>
              </w:rPr>
            </w:pPr>
            <w:r>
              <w:rPr>
                <w:rFonts w:hint="eastAsia"/>
                <w:b/>
                <w:lang w:val="en-GB"/>
              </w:rPr>
              <w:t>（1）有组织废气</w:t>
            </w:r>
          </w:p>
          <w:p>
            <w:pPr>
              <w:spacing w:line="360" w:lineRule="auto"/>
              <w:ind w:firstLine="480" w:firstLineChars="200"/>
              <w:rPr>
                <w:kern w:val="0"/>
              </w:rPr>
            </w:pPr>
            <w:r>
              <w:rPr>
                <w:rFonts w:hint="eastAsia"/>
                <w:kern w:val="0"/>
              </w:rPr>
              <w:t>项目有组织废气产生、收集及排放情况如下：</w:t>
            </w:r>
          </w:p>
          <w:p>
            <w:pPr>
              <w:adjustRightInd w:val="0"/>
              <w:snapToGrid w:val="0"/>
              <w:spacing w:before="120" w:beforeLines="50" w:line="360" w:lineRule="auto"/>
              <w:jc w:val="center"/>
              <w:rPr>
                <w:b/>
                <w:bCs/>
                <w:sz w:val="21"/>
                <w:szCs w:val="21"/>
              </w:rPr>
            </w:pPr>
            <w:r>
              <w:rPr>
                <w:b/>
                <w:bCs/>
                <w:sz w:val="21"/>
                <w:szCs w:val="21"/>
              </w:rPr>
              <w:t>表</w:t>
            </w:r>
            <w:r>
              <w:rPr>
                <w:rFonts w:hint="eastAsia"/>
                <w:b/>
                <w:bCs/>
                <w:sz w:val="21"/>
                <w:szCs w:val="21"/>
              </w:rPr>
              <w:t>4-</w:t>
            </w:r>
            <w:r>
              <w:rPr>
                <w:b/>
                <w:bCs/>
                <w:sz w:val="21"/>
                <w:szCs w:val="21"/>
              </w:rPr>
              <w:t xml:space="preserve">4  </w:t>
            </w:r>
            <w:r>
              <w:rPr>
                <w:rFonts w:hint="eastAsia"/>
                <w:b/>
                <w:bCs/>
                <w:sz w:val="21"/>
                <w:szCs w:val="21"/>
              </w:rPr>
              <w:t>有组织废气排放情况</w:t>
            </w:r>
            <w:r>
              <w:rPr>
                <w:b/>
                <w:bCs/>
                <w:sz w:val="21"/>
                <w:szCs w:val="21"/>
              </w:rPr>
              <w:t>一览表</w:t>
            </w:r>
          </w:p>
          <w:tbl>
            <w:tblPr>
              <w:tblStyle w:val="51"/>
              <w:tblW w:w="820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2"/>
              <w:gridCol w:w="484"/>
              <w:gridCol w:w="502"/>
              <w:gridCol w:w="501"/>
              <w:gridCol w:w="428"/>
              <w:gridCol w:w="618"/>
              <w:gridCol w:w="614"/>
              <w:gridCol w:w="688"/>
              <w:gridCol w:w="356"/>
              <w:gridCol w:w="618"/>
              <w:gridCol w:w="688"/>
              <w:gridCol w:w="688"/>
              <w:gridCol w:w="392"/>
              <w:gridCol w:w="392"/>
              <w:gridCol w:w="6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2"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产生工序</w:t>
                  </w:r>
                </w:p>
              </w:tc>
              <w:tc>
                <w:tcPr>
                  <w:tcW w:w="484"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污染物</w:t>
                  </w:r>
                </w:p>
              </w:tc>
              <w:tc>
                <w:tcPr>
                  <w:tcW w:w="502"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风量m</w:t>
                  </w:r>
                  <w:r>
                    <w:rPr>
                      <w:b/>
                      <w:kern w:val="0"/>
                      <w:sz w:val="21"/>
                      <w:szCs w:val="20"/>
                      <w:vertAlign w:val="superscript"/>
                    </w:rPr>
                    <w:t>3</w:t>
                  </w:r>
                  <w:r>
                    <w:rPr>
                      <w:b/>
                      <w:kern w:val="0"/>
                      <w:sz w:val="21"/>
                      <w:szCs w:val="20"/>
                    </w:rPr>
                    <w:t>/</w:t>
                  </w:r>
                  <w:r>
                    <w:rPr>
                      <w:rFonts w:hint="eastAsia"/>
                      <w:b/>
                      <w:kern w:val="0"/>
                      <w:sz w:val="21"/>
                      <w:szCs w:val="20"/>
                    </w:rPr>
                    <w:t>h</w:t>
                  </w:r>
                </w:p>
              </w:tc>
              <w:tc>
                <w:tcPr>
                  <w:tcW w:w="501"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排放时间h/a</w:t>
                  </w:r>
                </w:p>
              </w:tc>
              <w:tc>
                <w:tcPr>
                  <w:tcW w:w="428"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收集效率%</w:t>
                  </w:r>
                </w:p>
              </w:tc>
              <w:tc>
                <w:tcPr>
                  <w:tcW w:w="1920" w:type="dxa"/>
                  <w:gridSpan w:val="3"/>
                  <w:vAlign w:val="center"/>
                </w:tcPr>
                <w:p>
                  <w:pPr>
                    <w:adjustRightInd w:val="0"/>
                    <w:snapToGrid w:val="0"/>
                    <w:spacing w:before="24" w:beforeLines="10" w:after="24" w:afterLines="10" w:line="259" w:lineRule="auto"/>
                    <w:jc w:val="center"/>
                    <w:rPr>
                      <w:b/>
                      <w:kern w:val="0"/>
                      <w:sz w:val="21"/>
                      <w:szCs w:val="20"/>
                    </w:rPr>
                  </w:pPr>
                  <w:r>
                    <w:rPr>
                      <w:b/>
                      <w:kern w:val="0"/>
                      <w:sz w:val="21"/>
                      <w:szCs w:val="20"/>
                    </w:rPr>
                    <w:t>收集状况</w:t>
                  </w:r>
                </w:p>
              </w:tc>
              <w:tc>
                <w:tcPr>
                  <w:tcW w:w="356"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处理效率%</w:t>
                  </w:r>
                </w:p>
              </w:tc>
              <w:tc>
                <w:tcPr>
                  <w:tcW w:w="1994" w:type="dxa"/>
                  <w:gridSpan w:val="3"/>
                  <w:vAlign w:val="center"/>
                </w:tcPr>
                <w:p>
                  <w:pPr>
                    <w:adjustRightInd w:val="0"/>
                    <w:snapToGrid w:val="0"/>
                    <w:spacing w:before="24" w:beforeLines="10" w:after="24" w:afterLines="10" w:line="259" w:lineRule="auto"/>
                    <w:jc w:val="center"/>
                    <w:rPr>
                      <w:b/>
                      <w:kern w:val="0"/>
                      <w:sz w:val="21"/>
                      <w:szCs w:val="20"/>
                    </w:rPr>
                  </w:pPr>
                  <w:r>
                    <w:rPr>
                      <w:b/>
                      <w:kern w:val="0"/>
                      <w:sz w:val="21"/>
                      <w:szCs w:val="20"/>
                    </w:rPr>
                    <w:t>排放状况</w:t>
                  </w:r>
                </w:p>
              </w:tc>
              <w:tc>
                <w:tcPr>
                  <w:tcW w:w="392"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排气筒高度m</w:t>
                  </w:r>
                </w:p>
              </w:tc>
              <w:tc>
                <w:tcPr>
                  <w:tcW w:w="392"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排气筒内经m</w:t>
                  </w:r>
                </w:p>
              </w:tc>
              <w:tc>
                <w:tcPr>
                  <w:tcW w:w="643" w:type="dxa"/>
                  <w:vMerge w:val="restart"/>
                  <w:vAlign w:val="center"/>
                </w:tcPr>
                <w:p>
                  <w:pPr>
                    <w:adjustRightInd w:val="0"/>
                    <w:snapToGrid w:val="0"/>
                    <w:spacing w:before="24" w:beforeLines="10" w:after="24" w:afterLines="10" w:line="259" w:lineRule="auto"/>
                    <w:jc w:val="center"/>
                    <w:rPr>
                      <w:b/>
                      <w:kern w:val="0"/>
                      <w:sz w:val="21"/>
                      <w:szCs w:val="20"/>
                    </w:rPr>
                  </w:pPr>
                  <w:r>
                    <w:rPr>
                      <w:b/>
                      <w:kern w:val="0"/>
                      <w:sz w:val="21"/>
                      <w:szCs w:val="20"/>
                    </w:rPr>
                    <w:t>排气筒编号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592" w:type="dxa"/>
                  <w:vMerge w:val="continue"/>
                  <w:vAlign w:val="center"/>
                </w:tcPr>
                <w:p>
                  <w:pPr>
                    <w:adjustRightInd w:val="0"/>
                    <w:snapToGrid w:val="0"/>
                    <w:spacing w:before="24" w:beforeLines="10" w:after="24" w:afterLines="10" w:line="259" w:lineRule="auto"/>
                    <w:jc w:val="center"/>
                    <w:rPr>
                      <w:kern w:val="0"/>
                      <w:sz w:val="21"/>
                      <w:szCs w:val="20"/>
                    </w:rPr>
                  </w:pPr>
                </w:p>
              </w:tc>
              <w:tc>
                <w:tcPr>
                  <w:tcW w:w="484" w:type="dxa"/>
                  <w:vMerge w:val="continue"/>
                  <w:vAlign w:val="center"/>
                </w:tcPr>
                <w:p>
                  <w:pPr>
                    <w:adjustRightInd w:val="0"/>
                    <w:snapToGrid w:val="0"/>
                    <w:spacing w:before="24" w:beforeLines="10" w:after="24" w:afterLines="10" w:line="259" w:lineRule="auto"/>
                    <w:jc w:val="center"/>
                    <w:rPr>
                      <w:kern w:val="0"/>
                      <w:sz w:val="21"/>
                      <w:szCs w:val="20"/>
                    </w:rPr>
                  </w:pPr>
                </w:p>
              </w:tc>
              <w:tc>
                <w:tcPr>
                  <w:tcW w:w="502" w:type="dxa"/>
                  <w:vMerge w:val="continue"/>
                  <w:vAlign w:val="center"/>
                </w:tcPr>
                <w:p>
                  <w:pPr>
                    <w:adjustRightInd w:val="0"/>
                    <w:snapToGrid w:val="0"/>
                    <w:spacing w:before="24" w:beforeLines="10" w:after="24" w:afterLines="10" w:line="259" w:lineRule="auto"/>
                    <w:jc w:val="center"/>
                    <w:rPr>
                      <w:kern w:val="0"/>
                      <w:sz w:val="21"/>
                      <w:szCs w:val="20"/>
                    </w:rPr>
                  </w:pPr>
                </w:p>
              </w:tc>
              <w:tc>
                <w:tcPr>
                  <w:tcW w:w="501" w:type="dxa"/>
                  <w:vMerge w:val="continue"/>
                  <w:vAlign w:val="center"/>
                </w:tcPr>
                <w:p>
                  <w:pPr>
                    <w:adjustRightInd w:val="0"/>
                    <w:snapToGrid w:val="0"/>
                    <w:spacing w:before="24" w:beforeLines="10" w:after="24" w:afterLines="10" w:line="259" w:lineRule="auto"/>
                    <w:jc w:val="center"/>
                    <w:rPr>
                      <w:kern w:val="0"/>
                      <w:sz w:val="21"/>
                      <w:szCs w:val="20"/>
                    </w:rPr>
                  </w:pPr>
                </w:p>
              </w:tc>
              <w:tc>
                <w:tcPr>
                  <w:tcW w:w="428" w:type="dxa"/>
                  <w:vMerge w:val="continue"/>
                  <w:vAlign w:val="center"/>
                </w:tcPr>
                <w:p>
                  <w:pPr>
                    <w:adjustRightInd w:val="0"/>
                    <w:snapToGrid w:val="0"/>
                    <w:spacing w:before="24" w:beforeLines="10" w:after="24" w:afterLines="10" w:line="259" w:lineRule="auto"/>
                    <w:jc w:val="center"/>
                    <w:rPr>
                      <w:kern w:val="0"/>
                      <w:sz w:val="21"/>
                      <w:szCs w:val="20"/>
                    </w:rPr>
                  </w:pPr>
                </w:p>
              </w:tc>
              <w:tc>
                <w:tcPr>
                  <w:tcW w:w="618" w:type="dxa"/>
                  <w:vAlign w:val="center"/>
                </w:tcPr>
                <w:p>
                  <w:pPr>
                    <w:adjustRightInd w:val="0"/>
                    <w:snapToGrid w:val="0"/>
                    <w:spacing w:before="24" w:beforeLines="10" w:after="24" w:afterLines="10" w:line="259" w:lineRule="auto"/>
                    <w:jc w:val="center"/>
                    <w:rPr>
                      <w:b/>
                      <w:kern w:val="0"/>
                      <w:sz w:val="21"/>
                      <w:szCs w:val="20"/>
                    </w:rPr>
                  </w:pPr>
                  <w:r>
                    <w:rPr>
                      <w:b/>
                      <w:kern w:val="0"/>
                      <w:sz w:val="21"/>
                      <w:szCs w:val="20"/>
                    </w:rPr>
                    <w:t>浓度</w:t>
                  </w:r>
                </w:p>
                <w:p>
                  <w:pPr>
                    <w:jc w:val="center"/>
                    <w:rPr>
                      <w:b/>
                      <w:sz w:val="21"/>
                    </w:rPr>
                  </w:pPr>
                  <w:r>
                    <w:rPr>
                      <w:b/>
                      <w:sz w:val="21"/>
                    </w:rPr>
                    <w:t>mg/m</w:t>
                  </w:r>
                  <w:r>
                    <w:rPr>
                      <w:b/>
                      <w:sz w:val="21"/>
                      <w:vertAlign w:val="superscript"/>
                    </w:rPr>
                    <w:t>3</w:t>
                  </w:r>
                </w:p>
              </w:tc>
              <w:tc>
                <w:tcPr>
                  <w:tcW w:w="614" w:type="dxa"/>
                  <w:vAlign w:val="center"/>
                </w:tcPr>
                <w:p>
                  <w:pPr>
                    <w:adjustRightInd w:val="0"/>
                    <w:snapToGrid w:val="0"/>
                    <w:spacing w:before="24" w:beforeLines="10" w:after="24" w:afterLines="10" w:line="259" w:lineRule="auto"/>
                    <w:jc w:val="center"/>
                    <w:rPr>
                      <w:b/>
                      <w:kern w:val="0"/>
                      <w:sz w:val="21"/>
                      <w:szCs w:val="20"/>
                    </w:rPr>
                  </w:pPr>
                  <w:r>
                    <w:rPr>
                      <w:b/>
                      <w:kern w:val="0"/>
                      <w:sz w:val="21"/>
                      <w:szCs w:val="20"/>
                    </w:rPr>
                    <w:t>速率kg/h</w:t>
                  </w:r>
                </w:p>
              </w:tc>
              <w:tc>
                <w:tcPr>
                  <w:tcW w:w="688" w:type="dxa"/>
                  <w:vAlign w:val="center"/>
                </w:tcPr>
                <w:p>
                  <w:pPr>
                    <w:adjustRightInd w:val="0"/>
                    <w:snapToGrid w:val="0"/>
                    <w:spacing w:before="24" w:beforeLines="10" w:after="24" w:afterLines="10" w:line="259" w:lineRule="auto"/>
                    <w:jc w:val="center"/>
                    <w:rPr>
                      <w:b/>
                      <w:kern w:val="0"/>
                      <w:sz w:val="21"/>
                      <w:szCs w:val="20"/>
                    </w:rPr>
                  </w:pPr>
                  <w:r>
                    <w:rPr>
                      <w:rFonts w:hint="eastAsia"/>
                      <w:b/>
                      <w:kern w:val="0"/>
                      <w:sz w:val="21"/>
                      <w:szCs w:val="20"/>
                    </w:rPr>
                    <w:t>收集</w:t>
                  </w:r>
                  <w:r>
                    <w:rPr>
                      <w:b/>
                      <w:kern w:val="0"/>
                      <w:sz w:val="21"/>
                      <w:szCs w:val="20"/>
                    </w:rPr>
                    <w:t>量t/a</w:t>
                  </w:r>
                </w:p>
              </w:tc>
              <w:tc>
                <w:tcPr>
                  <w:tcW w:w="356" w:type="dxa"/>
                  <w:vMerge w:val="continue"/>
                  <w:vAlign w:val="center"/>
                </w:tcPr>
                <w:p>
                  <w:pPr>
                    <w:adjustRightInd w:val="0"/>
                    <w:snapToGrid w:val="0"/>
                    <w:spacing w:before="24" w:beforeLines="10" w:after="24" w:afterLines="10" w:line="259" w:lineRule="auto"/>
                    <w:jc w:val="center"/>
                    <w:rPr>
                      <w:kern w:val="0"/>
                      <w:sz w:val="21"/>
                      <w:szCs w:val="20"/>
                    </w:rPr>
                  </w:pPr>
                </w:p>
              </w:tc>
              <w:tc>
                <w:tcPr>
                  <w:tcW w:w="618" w:type="dxa"/>
                  <w:vAlign w:val="center"/>
                </w:tcPr>
                <w:p>
                  <w:pPr>
                    <w:adjustRightInd w:val="0"/>
                    <w:snapToGrid w:val="0"/>
                    <w:spacing w:before="24" w:beforeLines="10" w:after="24" w:afterLines="10" w:line="259" w:lineRule="auto"/>
                    <w:jc w:val="center"/>
                    <w:rPr>
                      <w:b/>
                      <w:kern w:val="0"/>
                      <w:sz w:val="21"/>
                      <w:szCs w:val="20"/>
                    </w:rPr>
                  </w:pPr>
                  <w:r>
                    <w:rPr>
                      <w:b/>
                      <w:kern w:val="0"/>
                      <w:sz w:val="21"/>
                      <w:szCs w:val="20"/>
                    </w:rPr>
                    <w:t>浓度</w:t>
                  </w:r>
                </w:p>
                <w:p>
                  <w:pPr>
                    <w:jc w:val="center"/>
                    <w:rPr>
                      <w:b/>
                      <w:sz w:val="21"/>
                    </w:rPr>
                  </w:pPr>
                  <w:r>
                    <w:rPr>
                      <w:b/>
                      <w:sz w:val="21"/>
                    </w:rPr>
                    <w:t>mg/m</w:t>
                  </w:r>
                  <w:r>
                    <w:rPr>
                      <w:b/>
                      <w:sz w:val="21"/>
                      <w:vertAlign w:val="superscript"/>
                    </w:rPr>
                    <w:t>3</w:t>
                  </w:r>
                </w:p>
              </w:tc>
              <w:tc>
                <w:tcPr>
                  <w:tcW w:w="688" w:type="dxa"/>
                  <w:vAlign w:val="center"/>
                </w:tcPr>
                <w:p>
                  <w:pPr>
                    <w:adjustRightInd w:val="0"/>
                    <w:snapToGrid w:val="0"/>
                    <w:spacing w:before="24" w:beforeLines="10" w:after="24" w:afterLines="10" w:line="259" w:lineRule="auto"/>
                    <w:jc w:val="center"/>
                    <w:rPr>
                      <w:b/>
                      <w:kern w:val="0"/>
                      <w:sz w:val="21"/>
                      <w:szCs w:val="20"/>
                    </w:rPr>
                  </w:pPr>
                  <w:r>
                    <w:rPr>
                      <w:b/>
                      <w:kern w:val="0"/>
                      <w:sz w:val="21"/>
                      <w:szCs w:val="20"/>
                    </w:rPr>
                    <w:t>速率kg/h</w:t>
                  </w:r>
                </w:p>
              </w:tc>
              <w:tc>
                <w:tcPr>
                  <w:tcW w:w="688" w:type="dxa"/>
                  <w:vAlign w:val="center"/>
                </w:tcPr>
                <w:p>
                  <w:pPr>
                    <w:adjustRightInd w:val="0"/>
                    <w:snapToGrid w:val="0"/>
                    <w:spacing w:before="24" w:beforeLines="10" w:after="24" w:afterLines="10" w:line="259" w:lineRule="auto"/>
                    <w:jc w:val="center"/>
                    <w:rPr>
                      <w:b/>
                      <w:kern w:val="0"/>
                      <w:sz w:val="21"/>
                      <w:szCs w:val="20"/>
                    </w:rPr>
                  </w:pPr>
                  <w:r>
                    <w:rPr>
                      <w:b/>
                      <w:kern w:val="0"/>
                      <w:sz w:val="21"/>
                      <w:szCs w:val="20"/>
                    </w:rPr>
                    <w:t>排放量t/a</w:t>
                  </w:r>
                </w:p>
              </w:tc>
              <w:tc>
                <w:tcPr>
                  <w:tcW w:w="392" w:type="dxa"/>
                  <w:vMerge w:val="continue"/>
                  <w:vAlign w:val="center"/>
                </w:tcPr>
                <w:p>
                  <w:pPr>
                    <w:adjustRightInd w:val="0"/>
                    <w:snapToGrid w:val="0"/>
                    <w:spacing w:before="24" w:beforeLines="10" w:after="24" w:afterLines="10" w:line="259" w:lineRule="auto"/>
                    <w:jc w:val="center"/>
                    <w:rPr>
                      <w:kern w:val="0"/>
                      <w:sz w:val="21"/>
                      <w:szCs w:val="20"/>
                    </w:rPr>
                  </w:pPr>
                </w:p>
              </w:tc>
              <w:tc>
                <w:tcPr>
                  <w:tcW w:w="392" w:type="dxa"/>
                  <w:vMerge w:val="continue"/>
                  <w:vAlign w:val="center"/>
                </w:tcPr>
                <w:p>
                  <w:pPr>
                    <w:adjustRightInd w:val="0"/>
                    <w:snapToGrid w:val="0"/>
                    <w:spacing w:before="24" w:beforeLines="10" w:after="24" w:afterLines="10" w:line="259" w:lineRule="auto"/>
                    <w:jc w:val="center"/>
                    <w:rPr>
                      <w:kern w:val="0"/>
                      <w:sz w:val="21"/>
                      <w:szCs w:val="20"/>
                    </w:rPr>
                  </w:pPr>
                </w:p>
              </w:tc>
              <w:tc>
                <w:tcPr>
                  <w:tcW w:w="643" w:type="dxa"/>
                  <w:vMerge w:val="continue"/>
                  <w:vAlign w:val="center"/>
                </w:tcPr>
                <w:p>
                  <w:pPr>
                    <w:adjustRightInd w:val="0"/>
                    <w:snapToGrid w:val="0"/>
                    <w:spacing w:before="24" w:beforeLines="10" w:after="24" w:afterLines="10" w:line="259" w:lineRule="auto"/>
                    <w:jc w:val="center"/>
                    <w:rPr>
                      <w:kern w:val="0"/>
                      <w:sz w:val="21"/>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592"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干燥</w:t>
                  </w:r>
                </w:p>
              </w:tc>
              <w:tc>
                <w:tcPr>
                  <w:tcW w:w="48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颗粒物</w:t>
                  </w:r>
                </w:p>
              </w:tc>
              <w:tc>
                <w:tcPr>
                  <w:tcW w:w="50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7</w:t>
                  </w:r>
                  <w:r>
                    <w:rPr>
                      <w:kern w:val="0"/>
                      <w:sz w:val="21"/>
                      <w:szCs w:val="20"/>
                    </w:rPr>
                    <w:t>734</w:t>
                  </w:r>
                </w:p>
              </w:tc>
              <w:tc>
                <w:tcPr>
                  <w:tcW w:w="501"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2</w:t>
                  </w:r>
                  <w:r>
                    <w:rPr>
                      <w:kern w:val="0"/>
                      <w:sz w:val="21"/>
                      <w:szCs w:val="20"/>
                    </w:rPr>
                    <w:t>400</w:t>
                  </w:r>
                </w:p>
              </w:tc>
              <w:tc>
                <w:tcPr>
                  <w:tcW w:w="42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00</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7</w:t>
                  </w:r>
                  <w:r>
                    <w:rPr>
                      <w:kern w:val="0"/>
                      <w:sz w:val="21"/>
                      <w:szCs w:val="20"/>
                    </w:rPr>
                    <w:t>41</w:t>
                  </w:r>
                  <w:r>
                    <w:rPr>
                      <w:rFonts w:hint="eastAsia"/>
                      <w:kern w:val="0"/>
                      <w:sz w:val="21"/>
                      <w:szCs w:val="20"/>
                    </w:rPr>
                    <w:t>.</w:t>
                  </w:r>
                  <w:r>
                    <w:rPr>
                      <w:kern w:val="0"/>
                      <w:sz w:val="21"/>
                      <w:szCs w:val="20"/>
                    </w:rPr>
                    <w:t>32</w:t>
                  </w:r>
                </w:p>
              </w:tc>
              <w:tc>
                <w:tcPr>
                  <w:tcW w:w="61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5.</w:t>
                  </w:r>
                  <w:r>
                    <w:rPr>
                      <w:kern w:val="0"/>
                      <w:sz w:val="21"/>
                      <w:szCs w:val="20"/>
                    </w:rPr>
                    <w:t>734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3</w:t>
                  </w:r>
                  <w:r>
                    <w:rPr>
                      <w:rFonts w:hint="eastAsia"/>
                      <w:kern w:val="0"/>
                      <w:sz w:val="21"/>
                      <w:szCs w:val="20"/>
                    </w:rPr>
                    <w:t>.</w:t>
                  </w:r>
                  <w:r>
                    <w:rPr>
                      <w:kern w:val="0"/>
                      <w:sz w:val="21"/>
                      <w:szCs w:val="20"/>
                    </w:rPr>
                    <w:t>76</w:t>
                  </w:r>
                </w:p>
              </w:tc>
              <w:tc>
                <w:tcPr>
                  <w:tcW w:w="356"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9</w:t>
                  </w:r>
                  <w:r>
                    <w:rPr>
                      <w:kern w:val="0"/>
                      <w:sz w:val="21"/>
                      <w:szCs w:val="20"/>
                    </w:rPr>
                    <w:t>9</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7.</w:t>
                  </w:r>
                  <w:r>
                    <w:rPr>
                      <w:kern w:val="0"/>
                      <w:sz w:val="21"/>
                      <w:szCs w:val="20"/>
                    </w:rPr>
                    <w:t>42</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0574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1376</w:t>
                  </w:r>
                </w:p>
              </w:tc>
              <w:tc>
                <w:tcPr>
                  <w:tcW w:w="392"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5</w:t>
                  </w:r>
                </w:p>
              </w:tc>
              <w:tc>
                <w:tcPr>
                  <w:tcW w:w="392"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35</w:t>
                  </w:r>
                </w:p>
              </w:tc>
              <w:tc>
                <w:tcPr>
                  <w:tcW w:w="643"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DA002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2" w:type="dxa"/>
                  <w:vMerge w:val="continue"/>
                  <w:vAlign w:val="center"/>
                </w:tcPr>
                <w:p>
                  <w:pPr>
                    <w:adjustRightInd w:val="0"/>
                    <w:snapToGrid w:val="0"/>
                    <w:spacing w:before="24" w:beforeLines="10" w:after="24" w:afterLines="10" w:line="259" w:lineRule="auto"/>
                    <w:jc w:val="center"/>
                    <w:rPr>
                      <w:kern w:val="0"/>
                      <w:sz w:val="21"/>
                      <w:szCs w:val="20"/>
                    </w:rPr>
                  </w:pPr>
                </w:p>
              </w:tc>
              <w:tc>
                <w:tcPr>
                  <w:tcW w:w="48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VOCs</w:t>
                  </w:r>
                </w:p>
              </w:tc>
              <w:tc>
                <w:tcPr>
                  <w:tcW w:w="50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7</w:t>
                  </w:r>
                  <w:r>
                    <w:rPr>
                      <w:kern w:val="0"/>
                      <w:sz w:val="21"/>
                      <w:szCs w:val="20"/>
                    </w:rPr>
                    <w:t>734</w:t>
                  </w:r>
                </w:p>
              </w:tc>
              <w:tc>
                <w:tcPr>
                  <w:tcW w:w="501"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2</w:t>
                  </w:r>
                  <w:r>
                    <w:rPr>
                      <w:kern w:val="0"/>
                      <w:sz w:val="21"/>
                      <w:szCs w:val="20"/>
                    </w:rPr>
                    <w:t>400</w:t>
                  </w:r>
                </w:p>
              </w:tc>
              <w:tc>
                <w:tcPr>
                  <w:tcW w:w="42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00</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733</w:t>
                  </w:r>
                </w:p>
              </w:tc>
              <w:tc>
                <w:tcPr>
                  <w:tcW w:w="61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0134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032</w:t>
                  </w:r>
                </w:p>
              </w:tc>
              <w:tc>
                <w:tcPr>
                  <w:tcW w:w="356"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733</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0134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032</w:t>
                  </w:r>
                </w:p>
              </w:tc>
              <w:tc>
                <w:tcPr>
                  <w:tcW w:w="392" w:type="dxa"/>
                  <w:vMerge w:val="continue"/>
                  <w:vAlign w:val="center"/>
                </w:tcPr>
                <w:p>
                  <w:pPr>
                    <w:adjustRightInd w:val="0"/>
                    <w:snapToGrid w:val="0"/>
                    <w:spacing w:before="24" w:beforeLines="10" w:after="24" w:afterLines="10" w:line="259" w:lineRule="auto"/>
                    <w:jc w:val="center"/>
                    <w:rPr>
                      <w:kern w:val="0"/>
                      <w:sz w:val="21"/>
                      <w:szCs w:val="20"/>
                    </w:rPr>
                  </w:pPr>
                </w:p>
              </w:tc>
              <w:tc>
                <w:tcPr>
                  <w:tcW w:w="392" w:type="dxa"/>
                  <w:vMerge w:val="continue"/>
                  <w:vAlign w:val="center"/>
                </w:tcPr>
                <w:p>
                  <w:pPr>
                    <w:adjustRightInd w:val="0"/>
                    <w:snapToGrid w:val="0"/>
                    <w:spacing w:before="24" w:beforeLines="10" w:after="24" w:afterLines="10" w:line="259" w:lineRule="auto"/>
                    <w:jc w:val="center"/>
                    <w:rPr>
                      <w:kern w:val="0"/>
                      <w:sz w:val="21"/>
                      <w:szCs w:val="20"/>
                    </w:rPr>
                  </w:pPr>
                </w:p>
              </w:tc>
              <w:tc>
                <w:tcPr>
                  <w:tcW w:w="643" w:type="dxa"/>
                  <w:vMerge w:val="continue"/>
                  <w:vAlign w:val="center"/>
                </w:tcPr>
                <w:p>
                  <w:pPr>
                    <w:adjustRightInd w:val="0"/>
                    <w:snapToGrid w:val="0"/>
                    <w:spacing w:before="24" w:beforeLines="10" w:after="24" w:afterLines="10" w:line="259" w:lineRule="auto"/>
                    <w:jc w:val="center"/>
                    <w:rPr>
                      <w:kern w:val="0"/>
                      <w:sz w:val="21"/>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刨片、筛分、锯边、截边</w:t>
                  </w:r>
                </w:p>
              </w:tc>
              <w:tc>
                <w:tcPr>
                  <w:tcW w:w="48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颗粒物</w:t>
                  </w:r>
                </w:p>
              </w:tc>
              <w:tc>
                <w:tcPr>
                  <w:tcW w:w="50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6</w:t>
                  </w:r>
                  <w:r>
                    <w:rPr>
                      <w:kern w:val="0"/>
                      <w:sz w:val="21"/>
                      <w:szCs w:val="20"/>
                    </w:rPr>
                    <w:t>4267</w:t>
                  </w:r>
                </w:p>
              </w:tc>
              <w:tc>
                <w:tcPr>
                  <w:tcW w:w="501"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2</w:t>
                  </w:r>
                  <w:r>
                    <w:rPr>
                      <w:kern w:val="0"/>
                      <w:sz w:val="21"/>
                      <w:szCs w:val="20"/>
                    </w:rPr>
                    <w:t>400</w:t>
                  </w:r>
                </w:p>
              </w:tc>
              <w:tc>
                <w:tcPr>
                  <w:tcW w:w="42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9</w:t>
                  </w:r>
                  <w:r>
                    <w:rPr>
                      <w:kern w:val="0"/>
                      <w:sz w:val="21"/>
                      <w:szCs w:val="20"/>
                    </w:rPr>
                    <w:t>0</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010</w:t>
                  </w:r>
                  <w:r>
                    <w:rPr>
                      <w:rFonts w:hint="eastAsia"/>
                      <w:kern w:val="0"/>
                      <w:sz w:val="21"/>
                      <w:szCs w:val="20"/>
                    </w:rPr>
                    <w:t>.</w:t>
                  </w:r>
                  <w:r>
                    <w:rPr>
                      <w:kern w:val="0"/>
                      <w:sz w:val="21"/>
                      <w:szCs w:val="20"/>
                    </w:rPr>
                    <w:t>63</w:t>
                  </w:r>
                </w:p>
              </w:tc>
              <w:tc>
                <w:tcPr>
                  <w:tcW w:w="61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6</w:t>
                  </w:r>
                  <w:r>
                    <w:rPr>
                      <w:kern w:val="0"/>
                      <w:sz w:val="21"/>
                      <w:szCs w:val="20"/>
                    </w:rPr>
                    <w:t>4</w:t>
                  </w:r>
                  <w:r>
                    <w:rPr>
                      <w:rFonts w:hint="eastAsia"/>
                      <w:kern w:val="0"/>
                      <w:sz w:val="21"/>
                      <w:szCs w:val="20"/>
                    </w:rPr>
                    <w:t>.</w:t>
                  </w:r>
                  <w:r>
                    <w:rPr>
                      <w:kern w:val="0"/>
                      <w:sz w:val="21"/>
                      <w:szCs w:val="20"/>
                    </w:rPr>
                    <w:t>95</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55</w:t>
                  </w:r>
                  <w:r>
                    <w:rPr>
                      <w:rFonts w:hint="eastAsia"/>
                      <w:kern w:val="0"/>
                      <w:sz w:val="21"/>
                      <w:szCs w:val="20"/>
                    </w:rPr>
                    <w:t>.</w:t>
                  </w:r>
                  <w:r>
                    <w:rPr>
                      <w:kern w:val="0"/>
                      <w:sz w:val="21"/>
                      <w:szCs w:val="20"/>
                    </w:rPr>
                    <w:t>88</w:t>
                  </w:r>
                </w:p>
              </w:tc>
              <w:tc>
                <w:tcPr>
                  <w:tcW w:w="356"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9</w:t>
                  </w:r>
                  <w:r>
                    <w:rPr>
                      <w:kern w:val="0"/>
                      <w:sz w:val="21"/>
                      <w:szCs w:val="20"/>
                    </w:rPr>
                    <w:t>8</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2</w:t>
                  </w:r>
                  <w:r>
                    <w:rPr>
                      <w:kern w:val="0"/>
                      <w:sz w:val="21"/>
                      <w:szCs w:val="20"/>
                    </w:rPr>
                    <w:t>0</w:t>
                  </w:r>
                  <w:r>
                    <w:rPr>
                      <w:rFonts w:hint="eastAsia"/>
                      <w:kern w:val="0"/>
                      <w:sz w:val="21"/>
                      <w:szCs w:val="20"/>
                    </w:rPr>
                    <w:t>.</w:t>
                  </w:r>
                  <w:r>
                    <w:rPr>
                      <w:kern w:val="0"/>
                      <w:sz w:val="21"/>
                      <w:szCs w:val="20"/>
                    </w:rPr>
                    <w:t>21</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299</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3.</w:t>
                  </w:r>
                  <w:r>
                    <w:rPr>
                      <w:kern w:val="0"/>
                      <w:sz w:val="21"/>
                      <w:szCs w:val="20"/>
                    </w:rPr>
                    <w:t>1176</w:t>
                  </w:r>
                </w:p>
              </w:tc>
              <w:tc>
                <w:tcPr>
                  <w:tcW w:w="39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5</w:t>
                  </w:r>
                </w:p>
              </w:tc>
              <w:tc>
                <w:tcPr>
                  <w:tcW w:w="39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4</w:t>
                  </w:r>
                </w:p>
              </w:tc>
              <w:tc>
                <w:tcPr>
                  <w:tcW w:w="643"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DA004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8" w:hRule="atLeast"/>
              </w:trPr>
              <w:tc>
                <w:tcPr>
                  <w:tcW w:w="592"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施胶、铺装、预压、热压</w:t>
                  </w:r>
                </w:p>
              </w:tc>
              <w:tc>
                <w:tcPr>
                  <w:tcW w:w="48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VOCs</w:t>
                  </w:r>
                </w:p>
              </w:tc>
              <w:tc>
                <w:tcPr>
                  <w:tcW w:w="50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4716</w:t>
                  </w:r>
                </w:p>
              </w:tc>
              <w:tc>
                <w:tcPr>
                  <w:tcW w:w="501"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2</w:t>
                  </w:r>
                  <w:r>
                    <w:rPr>
                      <w:kern w:val="0"/>
                      <w:sz w:val="21"/>
                      <w:szCs w:val="20"/>
                    </w:rPr>
                    <w:t>400</w:t>
                  </w:r>
                </w:p>
              </w:tc>
              <w:tc>
                <w:tcPr>
                  <w:tcW w:w="42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9</w:t>
                  </w:r>
                  <w:r>
                    <w:rPr>
                      <w:kern w:val="0"/>
                      <w:sz w:val="21"/>
                      <w:szCs w:val="20"/>
                    </w:rPr>
                    <w:t>0</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9</w:t>
                  </w:r>
                  <w:r>
                    <w:rPr>
                      <w:kern w:val="0"/>
                      <w:sz w:val="21"/>
                      <w:szCs w:val="20"/>
                    </w:rPr>
                    <w:t>5</w:t>
                  </w:r>
                  <w:r>
                    <w:rPr>
                      <w:rFonts w:hint="eastAsia"/>
                      <w:kern w:val="0"/>
                      <w:sz w:val="21"/>
                      <w:szCs w:val="20"/>
                    </w:rPr>
                    <w:t>.</w:t>
                  </w:r>
                  <w:r>
                    <w:rPr>
                      <w:kern w:val="0"/>
                      <w:sz w:val="21"/>
                      <w:szCs w:val="20"/>
                    </w:rPr>
                    <w:t>41</w:t>
                  </w:r>
                </w:p>
              </w:tc>
              <w:tc>
                <w:tcPr>
                  <w:tcW w:w="61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404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3.</w:t>
                  </w:r>
                  <w:r>
                    <w:rPr>
                      <w:kern w:val="0"/>
                      <w:sz w:val="21"/>
                      <w:szCs w:val="20"/>
                    </w:rPr>
                    <w:t>3696</w:t>
                  </w:r>
                </w:p>
              </w:tc>
              <w:tc>
                <w:tcPr>
                  <w:tcW w:w="356"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8</w:t>
                  </w:r>
                  <w:r>
                    <w:rPr>
                      <w:kern w:val="0"/>
                      <w:sz w:val="21"/>
                      <w:szCs w:val="20"/>
                    </w:rPr>
                    <w:t>5</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4</w:t>
                  </w:r>
                  <w:r>
                    <w:rPr>
                      <w:rFonts w:hint="eastAsia"/>
                      <w:kern w:val="0"/>
                      <w:sz w:val="21"/>
                      <w:szCs w:val="20"/>
                    </w:rPr>
                    <w:t>.</w:t>
                  </w:r>
                  <w:r>
                    <w:rPr>
                      <w:kern w:val="0"/>
                      <w:sz w:val="21"/>
                      <w:szCs w:val="20"/>
                    </w:rPr>
                    <w:t>34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211</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5054</w:t>
                  </w:r>
                </w:p>
              </w:tc>
              <w:tc>
                <w:tcPr>
                  <w:tcW w:w="392"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5</w:t>
                  </w:r>
                </w:p>
              </w:tc>
              <w:tc>
                <w:tcPr>
                  <w:tcW w:w="392"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38</w:t>
                  </w:r>
                </w:p>
              </w:tc>
              <w:tc>
                <w:tcPr>
                  <w:tcW w:w="643" w:type="dxa"/>
                  <w:vMerge w:val="restart"/>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DA005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592" w:type="dxa"/>
                  <w:vMerge w:val="continue"/>
                  <w:vAlign w:val="center"/>
                </w:tcPr>
                <w:p>
                  <w:pPr>
                    <w:adjustRightInd w:val="0"/>
                    <w:snapToGrid w:val="0"/>
                    <w:spacing w:before="24" w:beforeLines="10" w:after="24" w:afterLines="10" w:line="259" w:lineRule="auto"/>
                    <w:jc w:val="center"/>
                    <w:rPr>
                      <w:kern w:val="0"/>
                      <w:sz w:val="21"/>
                      <w:szCs w:val="20"/>
                    </w:rPr>
                  </w:pPr>
                </w:p>
              </w:tc>
              <w:tc>
                <w:tcPr>
                  <w:tcW w:w="48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甲醛</w:t>
                  </w:r>
                </w:p>
              </w:tc>
              <w:tc>
                <w:tcPr>
                  <w:tcW w:w="502"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1</w:t>
                  </w:r>
                  <w:r>
                    <w:rPr>
                      <w:kern w:val="0"/>
                      <w:sz w:val="21"/>
                      <w:szCs w:val="20"/>
                    </w:rPr>
                    <w:t>4716</w:t>
                  </w:r>
                </w:p>
              </w:tc>
              <w:tc>
                <w:tcPr>
                  <w:tcW w:w="501"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2</w:t>
                  </w:r>
                  <w:r>
                    <w:rPr>
                      <w:kern w:val="0"/>
                      <w:sz w:val="21"/>
                      <w:szCs w:val="20"/>
                    </w:rPr>
                    <w:t>400</w:t>
                  </w:r>
                </w:p>
              </w:tc>
              <w:tc>
                <w:tcPr>
                  <w:tcW w:w="42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9</w:t>
                  </w:r>
                  <w:r>
                    <w:rPr>
                      <w:kern w:val="0"/>
                      <w:sz w:val="21"/>
                      <w:szCs w:val="20"/>
                    </w:rPr>
                    <w:t>0</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89</w:t>
                  </w:r>
                </w:p>
              </w:tc>
              <w:tc>
                <w:tcPr>
                  <w:tcW w:w="614"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0132</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0315</w:t>
                  </w:r>
                </w:p>
              </w:tc>
              <w:tc>
                <w:tcPr>
                  <w:tcW w:w="356"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8</w:t>
                  </w:r>
                  <w:r>
                    <w:rPr>
                      <w:kern w:val="0"/>
                      <w:sz w:val="21"/>
                      <w:szCs w:val="20"/>
                    </w:rPr>
                    <w:t>5</w:t>
                  </w:r>
                </w:p>
              </w:tc>
              <w:tc>
                <w:tcPr>
                  <w:tcW w:w="61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134</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00197</w:t>
                  </w:r>
                </w:p>
              </w:tc>
              <w:tc>
                <w:tcPr>
                  <w:tcW w:w="688" w:type="dxa"/>
                  <w:vAlign w:val="center"/>
                </w:tcPr>
                <w:p>
                  <w:pPr>
                    <w:adjustRightInd w:val="0"/>
                    <w:snapToGrid w:val="0"/>
                    <w:spacing w:before="24" w:beforeLines="10" w:after="24" w:afterLines="10" w:line="259" w:lineRule="auto"/>
                    <w:jc w:val="center"/>
                    <w:rPr>
                      <w:kern w:val="0"/>
                      <w:sz w:val="21"/>
                      <w:szCs w:val="20"/>
                    </w:rPr>
                  </w:pPr>
                  <w:r>
                    <w:rPr>
                      <w:rFonts w:hint="eastAsia"/>
                      <w:kern w:val="0"/>
                      <w:sz w:val="21"/>
                      <w:szCs w:val="20"/>
                    </w:rPr>
                    <w:t>0.</w:t>
                  </w:r>
                  <w:r>
                    <w:rPr>
                      <w:kern w:val="0"/>
                      <w:sz w:val="21"/>
                      <w:szCs w:val="20"/>
                    </w:rPr>
                    <w:t>004725</w:t>
                  </w:r>
                </w:p>
              </w:tc>
              <w:tc>
                <w:tcPr>
                  <w:tcW w:w="392" w:type="dxa"/>
                  <w:vMerge w:val="continue"/>
                  <w:vAlign w:val="center"/>
                </w:tcPr>
                <w:p>
                  <w:pPr>
                    <w:adjustRightInd w:val="0"/>
                    <w:snapToGrid w:val="0"/>
                    <w:spacing w:before="24" w:beforeLines="10" w:after="24" w:afterLines="10" w:line="259" w:lineRule="auto"/>
                    <w:jc w:val="center"/>
                    <w:rPr>
                      <w:kern w:val="0"/>
                      <w:sz w:val="21"/>
                      <w:szCs w:val="20"/>
                    </w:rPr>
                  </w:pPr>
                </w:p>
              </w:tc>
              <w:tc>
                <w:tcPr>
                  <w:tcW w:w="392" w:type="dxa"/>
                  <w:vMerge w:val="continue"/>
                  <w:vAlign w:val="center"/>
                </w:tcPr>
                <w:p>
                  <w:pPr>
                    <w:adjustRightInd w:val="0"/>
                    <w:snapToGrid w:val="0"/>
                    <w:spacing w:before="24" w:beforeLines="10" w:after="24" w:afterLines="10" w:line="259" w:lineRule="auto"/>
                    <w:jc w:val="center"/>
                    <w:rPr>
                      <w:kern w:val="0"/>
                      <w:sz w:val="21"/>
                      <w:szCs w:val="20"/>
                    </w:rPr>
                  </w:pPr>
                </w:p>
              </w:tc>
              <w:tc>
                <w:tcPr>
                  <w:tcW w:w="643" w:type="dxa"/>
                  <w:vMerge w:val="continue"/>
                  <w:vAlign w:val="center"/>
                </w:tcPr>
                <w:p>
                  <w:pPr>
                    <w:adjustRightInd w:val="0"/>
                    <w:snapToGrid w:val="0"/>
                    <w:spacing w:before="24" w:beforeLines="10" w:after="24" w:afterLines="10" w:line="259" w:lineRule="auto"/>
                    <w:jc w:val="center"/>
                    <w:rPr>
                      <w:kern w:val="0"/>
                      <w:sz w:val="21"/>
                      <w:szCs w:val="20"/>
                    </w:rPr>
                  </w:pPr>
                </w:p>
              </w:tc>
            </w:tr>
          </w:tbl>
          <w:p>
            <w:pPr>
              <w:adjustRightInd w:val="0"/>
              <w:snapToGrid w:val="0"/>
              <w:spacing w:before="120" w:beforeLines="50" w:line="360" w:lineRule="auto"/>
              <w:ind w:firstLine="482" w:firstLineChars="200"/>
              <w:rPr>
                <w:b/>
                <w:kern w:val="0"/>
              </w:rPr>
            </w:pPr>
            <w:r>
              <w:rPr>
                <w:rFonts w:hint="eastAsia"/>
                <w:b/>
                <w:kern w:val="0"/>
              </w:rPr>
              <w:t>（2）无组织废气</w:t>
            </w:r>
          </w:p>
          <w:p>
            <w:pPr>
              <w:pStyle w:val="100"/>
            </w:pPr>
            <w:r>
              <w:t>表</w:t>
            </w:r>
            <w:r>
              <w:rPr>
                <w:rFonts w:hint="eastAsia"/>
              </w:rPr>
              <w:t>4-</w:t>
            </w:r>
            <w:r>
              <w:t xml:space="preserve">5   </w:t>
            </w:r>
            <w:r>
              <w:rPr>
                <w:rFonts w:hint="eastAsia"/>
              </w:rPr>
              <w:t>无组织排放情况</w:t>
            </w:r>
            <w:r>
              <w:t>一览表</w:t>
            </w:r>
          </w:p>
          <w:tbl>
            <w:tblPr>
              <w:tblStyle w:val="51"/>
              <w:tblW w:w="8286"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19"/>
              <w:gridCol w:w="1040"/>
              <w:gridCol w:w="1398"/>
              <w:gridCol w:w="1219"/>
              <w:gridCol w:w="972"/>
              <w:gridCol w:w="1219"/>
              <w:gridCol w:w="12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19" w:type="dxa"/>
                  <w:vMerge w:val="restart"/>
                  <w:vAlign w:val="center"/>
                </w:tcPr>
                <w:p>
                  <w:pPr>
                    <w:pStyle w:val="178"/>
                    <w:rPr>
                      <w:color w:val="auto"/>
                    </w:rPr>
                  </w:pPr>
                  <w:r>
                    <w:rPr>
                      <w:rFonts w:hint="eastAsia"/>
                      <w:color w:val="auto"/>
                    </w:rPr>
                    <w:t>污染源</w:t>
                  </w:r>
                </w:p>
              </w:tc>
              <w:tc>
                <w:tcPr>
                  <w:tcW w:w="1040" w:type="dxa"/>
                  <w:vMerge w:val="restart"/>
                  <w:vAlign w:val="center"/>
                </w:tcPr>
                <w:p>
                  <w:pPr>
                    <w:pStyle w:val="178"/>
                    <w:rPr>
                      <w:color w:val="auto"/>
                    </w:rPr>
                  </w:pPr>
                  <w:r>
                    <w:rPr>
                      <w:color w:val="auto"/>
                    </w:rPr>
                    <w:t>污染物</w:t>
                  </w:r>
                </w:p>
              </w:tc>
              <w:tc>
                <w:tcPr>
                  <w:tcW w:w="1398" w:type="dxa"/>
                  <w:vMerge w:val="restart"/>
                  <w:vAlign w:val="center"/>
                </w:tcPr>
                <w:p>
                  <w:pPr>
                    <w:pStyle w:val="178"/>
                    <w:rPr>
                      <w:color w:val="auto"/>
                    </w:rPr>
                  </w:pPr>
                  <w:r>
                    <w:rPr>
                      <w:rFonts w:hint="eastAsia"/>
                      <w:color w:val="auto"/>
                    </w:rPr>
                    <w:t>产污工序</w:t>
                  </w:r>
                </w:p>
              </w:tc>
              <w:tc>
                <w:tcPr>
                  <w:tcW w:w="1219" w:type="dxa"/>
                  <w:vMerge w:val="restart"/>
                  <w:vAlign w:val="center"/>
                </w:tcPr>
                <w:p>
                  <w:pPr>
                    <w:pStyle w:val="178"/>
                    <w:rPr>
                      <w:color w:val="auto"/>
                    </w:rPr>
                  </w:pPr>
                  <w:r>
                    <w:rPr>
                      <w:rFonts w:hint="eastAsia"/>
                      <w:color w:val="auto"/>
                    </w:rPr>
                    <w:t>无组织排放量t/a</w:t>
                  </w:r>
                </w:p>
              </w:tc>
              <w:tc>
                <w:tcPr>
                  <w:tcW w:w="972" w:type="dxa"/>
                  <w:vMerge w:val="restart"/>
                  <w:vAlign w:val="center"/>
                </w:tcPr>
                <w:p>
                  <w:pPr>
                    <w:pStyle w:val="178"/>
                    <w:rPr>
                      <w:color w:val="auto"/>
                    </w:rPr>
                  </w:pPr>
                  <w:r>
                    <w:rPr>
                      <w:rFonts w:hint="eastAsia"/>
                      <w:color w:val="auto"/>
                    </w:rPr>
                    <w:t>无组织排放速率kg/h</w:t>
                  </w:r>
                </w:p>
              </w:tc>
              <w:tc>
                <w:tcPr>
                  <w:tcW w:w="1219" w:type="dxa"/>
                  <w:vMerge w:val="restart"/>
                  <w:vAlign w:val="center"/>
                </w:tcPr>
                <w:p>
                  <w:pPr>
                    <w:pStyle w:val="178"/>
                    <w:rPr>
                      <w:color w:val="auto"/>
                    </w:rPr>
                  </w:pPr>
                  <w:r>
                    <w:rPr>
                      <w:rFonts w:hint="eastAsia"/>
                      <w:color w:val="auto"/>
                    </w:rPr>
                    <w:t>排放源面积m*m</w:t>
                  </w:r>
                </w:p>
              </w:tc>
              <w:tc>
                <w:tcPr>
                  <w:tcW w:w="1219" w:type="dxa"/>
                  <w:vMerge w:val="restart"/>
                  <w:vAlign w:val="center"/>
                </w:tcPr>
                <w:p>
                  <w:pPr>
                    <w:pStyle w:val="178"/>
                    <w:rPr>
                      <w:color w:val="auto"/>
                    </w:rPr>
                  </w:pPr>
                  <w:r>
                    <w:rPr>
                      <w:rFonts w:hint="eastAsia"/>
                      <w:color w:val="auto"/>
                    </w:rPr>
                    <w:t>排放源高度</w:t>
                  </w:r>
                  <w:r>
                    <w:rPr>
                      <w:color w:val="auto"/>
                    </w:rPr>
                    <w:t>m</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1219" w:type="dxa"/>
                  <w:vMerge w:val="continue"/>
                  <w:vAlign w:val="center"/>
                </w:tcPr>
                <w:p>
                  <w:pPr>
                    <w:pStyle w:val="178"/>
                    <w:rPr>
                      <w:color w:val="auto"/>
                    </w:rPr>
                  </w:pPr>
                </w:p>
              </w:tc>
              <w:tc>
                <w:tcPr>
                  <w:tcW w:w="1040" w:type="dxa"/>
                  <w:vMerge w:val="continue"/>
                  <w:vAlign w:val="center"/>
                </w:tcPr>
                <w:p>
                  <w:pPr>
                    <w:pStyle w:val="178"/>
                    <w:rPr>
                      <w:color w:val="auto"/>
                    </w:rPr>
                  </w:pPr>
                </w:p>
              </w:tc>
              <w:tc>
                <w:tcPr>
                  <w:tcW w:w="1398" w:type="dxa"/>
                  <w:vMerge w:val="continue"/>
                  <w:vAlign w:val="center"/>
                </w:tcPr>
                <w:p>
                  <w:pPr>
                    <w:pStyle w:val="178"/>
                    <w:rPr>
                      <w:color w:val="auto"/>
                    </w:rPr>
                  </w:pPr>
                </w:p>
              </w:tc>
              <w:tc>
                <w:tcPr>
                  <w:tcW w:w="1219" w:type="dxa"/>
                  <w:vMerge w:val="continue"/>
                  <w:vAlign w:val="center"/>
                </w:tcPr>
                <w:p>
                  <w:pPr>
                    <w:pStyle w:val="178"/>
                    <w:rPr>
                      <w:color w:val="auto"/>
                    </w:rPr>
                  </w:pPr>
                </w:p>
              </w:tc>
              <w:tc>
                <w:tcPr>
                  <w:tcW w:w="972" w:type="dxa"/>
                  <w:vMerge w:val="continue"/>
                  <w:vAlign w:val="center"/>
                </w:tcPr>
                <w:p>
                  <w:pPr>
                    <w:pStyle w:val="178"/>
                    <w:rPr>
                      <w:color w:val="auto"/>
                    </w:rPr>
                  </w:pPr>
                </w:p>
              </w:tc>
              <w:tc>
                <w:tcPr>
                  <w:tcW w:w="1219" w:type="dxa"/>
                  <w:vMerge w:val="continue"/>
                  <w:vAlign w:val="center"/>
                </w:tcPr>
                <w:p>
                  <w:pPr>
                    <w:pStyle w:val="178"/>
                    <w:rPr>
                      <w:color w:val="auto"/>
                    </w:rPr>
                  </w:pPr>
                </w:p>
              </w:tc>
              <w:tc>
                <w:tcPr>
                  <w:tcW w:w="1219" w:type="dxa"/>
                  <w:vMerge w:val="continue"/>
                  <w:vAlign w:val="center"/>
                </w:tcPr>
                <w:p>
                  <w:pPr>
                    <w:pStyle w:val="178"/>
                    <w:rPr>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19" w:type="dxa"/>
                  <w:vAlign w:val="center"/>
                </w:tcPr>
                <w:p>
                  <w:pPr>
                    <w:pStyle w:val="178"/>
                    <w:rPr>
                      <w:color w:val="auto"/>
                    </w:rPr>
                  </w:pPr>
                  <w:r>
                    <w:rPr>
                      <w:rFonts w:hint="eastAsia"/>
                      <w:color w:val="auto"/>
                    </w:rPr>
                    <w:t>车间</w:t>
                  </w:r>
                </w:p>
              </w:tc>
              <w:tc>
                <w:tcPr>
                  <w:tcW w:w="1040" w:type="dxa"/>
                  <w:vAlign w:val="center"/>
                </w:tcPr>
                <w:p>
                  <w:pPr>
                    <w:pStyle w:val="178"/>
                    <w:rPr>
                      <w:color w:val="auto"/>
                    </w:rPr>
                  </w:pPr>
                  <w:r>
                    <w:rPr>
                      <w:rFonts w:hint="eastAsia"/>
                      <w:color w:val="auto"/>
                    </w:rPr>
                    <w:t>颗粒物</w:t>
                  </w:r>
                </w:p>
              </w:tc>
              <w:tc>
                <w:tcPr>
                  <w:tcW w:w="1398" w:type="dxa"/>
                  <w:vAlign w:val="center"/>
                </w:tcPr>
                <w:p>
                  <w:pPr>
                    <w:pStyle w:val="178"/>
                    <w:rPr>
                      <w:color w:val="auto"/>
                    </w:rPr>
                  </w:pPr>
                  <w:r>
                    <w:rPr>
                      <w:rFonts w:hint="eastAsia"/>
                      <w:color w:val="auto"/>
                      <w:szCs w:val="20"/>
                    </w:rPr>
                    <w:t>刨片、筛分、锯边、截边</w:t>
                  </w:r>
                </w:p>
              </w:tc>
              <w:tc>
                <w:tcPr>
                  <w:tcW w:w="1219" w:type="dxa"/>
                  <w:vAlign w:val="center"/>
                </w:tcPr>
                <w:p>
                  <w:pPr>
                    <w:pStyle w:val="178"/>
                    <w:rPr>
                      <w:color w:val="auto"/>
                    </w:rPr>
                  </w:pPr>
                  <w:r>
                    <w:rPr>
                      <w:color w:val="auto"/>
                    </w:rPr>
                    <w:t>0</w:t>
                  </w:r>
                  <w:r>
                    <w:rPr>
                      <w:rFonts w:hint="eastAsia"/>
                      <w:color w:val="auto"/>
                    </w:rPr>
                    <w:t>.</w:t>
                  </w:r>
                  <w:r>
                    <w:rPr>
                      <w:color w:val="auto"/>
                    </w:rPr>
                    <w:t>866</w:t>
                  </w:r>
                </w:p>
              </w:tc>
              <w:tc>
                <w:tcPr>
                  <w:tcW w:w="972" w:type="dxa"/>
                  <w:vAlign w:val="center"/>
                </w:tcPr>
                <w:p>
                  <w:pPr>
                    <w:pStyle w:val="178"/>
                    <w:rPr>
                      <w:color w:val="auto"/>
                    </w:rPr>
                  </w:pPr>
                  <w:r>
                    <w:rPr>
                      <w:rFonts w:hint="eastAsia"/>
                      <w:color w:val="auto"/>
                    </w:rPr>
                    <w:t>0.</w:t>
                  </w:r>
                  <w:r>
                    <w:rPr>
                      <w:color w:val="auto"/>
                    </w:rPr>
                    <w:t>361</w:t>
                  </w:r>
                </w:p>
              </w:tc>
              <w:tc>
                <w:tcPr>
                  <w:tcW w:w="1219" w:type="dxa"/>
                  <w:vAlign w:val="center"/>
                </w:tcPr>
                <w:p>
                  <w:pPr>
                    <w:pStyle w:val="178"/>
                    <w:rPr>
                      <w:color w:val="auto"/>
                    </w:rPr>
                  </w:pPr>
                  <w:r>
                    <w:rPr>
                      <w:rFonts w:hint="eastAsia"/>
                      <w:color w:val="auto"/>
                    </w:rPr>
                    <w:t>2</w:t>
                  </w:r>
                  <w:r>
                    <w:rPr>
                      <w:color w:val="auto"/>
                    </w:rPr>
                    <w:t>30</w:t>
                  </w:r>
                  <w:r>
                    <w:rPr>
                      <w:rFonts w:hint="eastAsia"/>
                      <w:color w:val="auto"/>
                    </w:rPr>
                    <w:t>*</w:t>
                  </w:r>
                  <w:r>
                    <w:rPr>
                      <w:color w:val="auto"/>
                    </w:rPr>
                    <w:t>200</w:t>
                  </w:r>
                </w:p>
              </w:tc>
              <w:tc>
                <w:tcPr>
                  <w:tcW w:w="1219" w:type="dxa"/>
                  <w:vAlign w:val="center"/>
                </w:tcPr>
                <w:p>
                  <w:pPr>
                    <w:pStyle w:val="178"/>
                    <w:rPr>
                      <w:color w:val="auto"/>
                    </w:rPr>
                  </w:pPr>
                  <w:r>
                    <w:rPr>
                      <w:rFonts w:hint="eastAsia"/>
                      <w:color w:val="auto"/>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19" w:type="dxa"/>
                  <w:vAlign w:val="center"/>
                </w:tcPr>
                <w:p>
                  <w:pPr>
                    <w:pStyle w:val="178"/>
                    <w:rPr>
                      <w:color w:val="auto"/>
                    </w:rPr>
                  </w:pPr>
                  <w:r>
                    <w:rPr>
                      <w:rFonts w:hint="eastAsia"/>
                      <w:color w:val="auto"/>
                    </w:rPr>
                    <w:t>车间</w:t>
                  </w:r>
                </w:p>
              </w:tc>
              <w:tc>
                <w:tcPr>
                  <w:tcW w:w="1040" w:type="dxa"/>
                  <w:vAlign w:val="center"/>
                </w:tcPr>
                <w:p>
                  <w:pPr>
                    <w:pStyle w:val="178"/>
                    <w:rPr>
                      <w:color w:val="auto"/>
                    </w:rPr>
                  </w:pPr>
                  <w:r>
                    <w:rPr>
                      <w:rFonts w:hint="eastAsia"/>
                      <w:color w:val="auto"/>
                    </w:rPr>
                    <w:t>VOCs</w:t>
                  </w:r>
                </w:p>
              </w:tc>
              <w:tc>
                <w:tcPr>
                  <w:tcW w:w="1398" w:type="dxa"/>
                  <w:vMerge w:val="restart"/>
                  <w:vAlign w:val="center"/>
                </w:tcPr>
                <w:p>
                  <w:pPr>
                    <w:pStyle w:val="178"/>
                    <w:rPr>
                      <w:color w:val="auto"/>
                    </w:rPr>
                  </w:pPr>
                  <w:r>
                    <w:rPr>
                      <w:rFonts w:hint="eastAsia"/>
                      <w:color w:val="auto"/>
                      <w:szCs w:val="20"/>
                    </w:rPr>
                    <w:t>施胶、铺装、预压、热压</w:t>
                  </w:r>
                </w:p>
              </w:tc>
              <w:tc>
                <w:tcPr>
                  <w:tcW w:w="1219" w:type="dxa"/>
                  <w:vAlign w:val="center"/>
                </w:tcPr>
                <w:p>
                  <w:pPr>
                    <w:pStyle w:val="178"/>
                    <w:rPr>
                      <w:color w:val="auto"/>
                    </w:rPr>
                  </w:pPr>
                  <w:r>
                    <w:rPr>
                      <w:color w:val="auto"/>
                    </w:rPr>
                    <w:t>0</w:t>
                  </w:r>
                  <w:r>
                    <w:rPr>
                      <w:rFonts w:hint="eastAsia"/>
                      <w:color w:val="auto"/>
                    </w:rPr>
                    <w:t>.</w:t>
                  </w:r>
                  <w:r>
                    <w:rPr>
                      <w:color w:val="auto"/>
                    </w:rPr>
                    <w:t>15</w:t>
                  </w:r>
                </w:p>
              </w:tc>
              <w:tc>
                <w:tcPr>
                  <w:tcW w:w="972" w:type="dxa"/>
                  <w:vAlign w:val="center"/>
                </w:tcPr>
                <w:p>
                  <w:pPr>
                    <w:pStyle w:val="178"/>
                    <w:rPr>
                      <w:color w:val="auto"/>
                    </w:rPr>
                  </w:pPr>
                  <w:r>
                    <w:rPr>
                      <w:rFonts w:hint="eastAsia"/>
                      <w:color w:val="auto"/>
                    </w:rPr>
                    <w:t>0.</w:t>
                  </w:r>
                  <w:r>
                    <w:rPr>
                      <w:color w:val="auto"/>
                    </w:rPr>
                    <w:t>0625</w:t>
                  </w:r>
                </w:p>
              </w:tc>
              <w:tc>
                <w:tcPr>
                  <w:tcW w:w="1219" w:type="dxa"/>
                  <w:vAlign w:val="center"/>
                </w:tcPr>
                <w:p>
                  <w:pPr>
                    <w:pStyle w:val="178"/>
                    <w:rPr>
                      <w:color w:val="auto"/>
                    </w:rPr>
                  </w:pPr>
                  <w:r>
                    <w:rPr>
                      <w:rFonts w:hint="eastAsia"/>
                      <w:color w:val="auto"/>
                    </w:rPr>
                    <w:t>2</w:t>
                  </w:r>
                  <w:r>
                    <w:rPr>
                      <w:color w:val="auto"/>
                    </w:rPr>
                    <w:t>30</w:t>
                  </w:r>
                  <w:r>
                    <w:rPr>
                      <w:rFonts w:hint="eastAsia"/>
                      <w:color w:val="auto"/>
                    </w:rPr>
                    <w:t>*</w:t>
                  </w:r>
                  <w:r>
                    <w:rPr>
                      <w:color w:val="auto"/>
                    </w:rPr>
                    <w:t>200</w:t>
                  </w:r>
                </w:p>
              </w:tc>
              <w:tc>
                <w:tcPr>
                  <w:tcW w:w="1219" w:type="dxa"/>
                  <w:vAlign w:val="center"/>
                </w:tcPr>
                <w:p>
                  <w:pPr>
                    <w:pStyle w:val="178"/>
                    <w:rPr>
                      <w:color w:val="auto"/>
                    </w:rPr>
                  </w:pPr>
                  <w:r>
                    <w:rPr>
                      <w:rFonts w:hint="eastAsia"/>
                      <w:color w:val="auto"/>
                    </w:rP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1219" w:type="dxa"/>
                  <w:vAlign w:val="center"/>
                </w:tcPr>
                <w:p>
                  <w:pPr>
                    <w:pStyle w:val="178"/>
                    <w:rPr>
                      <w:color w:val="auto"/>
                    </w:rPr>
                  </w:pPr>
                  <w:r>
                    <w:rPr>
                      <w:rFonts w:hint="eastAsia"/>
                      <w:color w:val="auto"/>
                    </w:rPr>
                    <w:t>车间</w:t>
                  </w:r>
                </w:p>
              </w:tc>
              <w:tc>
                <w:tcPr>
                  <w:tcW w:w="1040" w:type="dxa"/>
                  <w:vAlign w:val="center"/>
                </w:tcPr>
                <w:p>
                  <w:pPr>
                    <w:pStyle w:val="178"/>
                    <w:rPr>
                      <w:color w:val="auto"/>
                    </w:rPr>
                  </w:pPr>
                  <w:r>
                    <w:rPr>
                      <w:rFonts w:hint="eastAsia"/>
                      <w:color w:val="auto"/>
                    </w:rPr>
                    <w:t>甲醛</w:t>
                  </w:r>
                </w:p>
              </w:tc>
              <w:tc>
                <w:tcPr>
                  <w:tcW w:w="1398" w:type="dxa"/>
                  <w:vMerge w:val="continue"/>
                  <w:vAlign w:val="center"/>
                </w:tcPr>
                <w:p>
                  <w:pPr>
                    <w:pStyle w:val="178"/>
                    <w:rPr>
                      <w:color w:val="auto"/>
                    </w:rPr>
                  </w:pPr>
                </w:p>
              </w:tc>
              <w:tc>
                <w:tcPr>
                  <w:tcW w:w="1219" w:type="dxa"/>
                  <w:vAlign w:val="center"/>
                </w:tcPr>
                <w:p>
                  <w:pPr>
                    <w:pStyle w:val="178"/>
                    <w:rPr>
                      <w:color w:val="auto"/>
                    </w:rPr>
                  </w:pPr>
                  <w:r>
                    <w:rPr>
                      <w:rFonts w:hint="eastAsia"/>
                      <w:color w:val="auto"/>
                    </w:rPr>
                    <w:t>0.</w:t>
                  </w:r>
                  <w:r>
                    <w:rPr>
                      <w:color w:val="auto"/>
                    </w:rPr>
                    <w:t>0035</w:t>
                  </w:r>
                </w:p>
              </w:tc>
              <w:tc>
                <w:tcPr>
                  <w:tcW w:w="972" w:type="dxa"/>
                  <w:vAlign w:val="center"/>
                </w:tcPr>
                <w:p>
                  <w:pPr>
                    <w:pStyle w:val="178"/>
                    <w:rPr>
                      <w:color w:val="auto"/>
                    </w:rPr>
                  </w:pPr>
                  <w:r>
                    <w:rPr>
                      <w:rFonts w:hint="eastAsia"/>
                      <w:color w:val="auto"/>
                    </w:rPr>
                    <w:t>0.</w:t>
                  </w:r>
                  <w:r>
                    <w:rPr>
                      <w:color w:val="auto"/>
                    </w:rPr>
                    <w:t>00146</w:t>
                  </w:r>
                </w:p>
              </w:tc>
              <w:tc>
                <w:tcPr>
                  <w:tcW w:w="1219" w:type="dxa"/>
                  <w:vAlign w:val="center"/>
                </w:tcPr>
                <w:p>
                  <w:pPr>
                    <w:pStyle w:val="178"/>
                    <w:rPr>
                      <w:color w:val="auto"/>
                    </w:rPr>
                  </w:pPr>
                  <w:r>
                    <w:rPr>
                      <w:rFonts w:hint="eastAsia"/>
                      <w:color w:val="auto"/>
                    </w:rPr>
                    <w:t>2</w:t>
                  </w:r>
                  <w:r>
                    <w:rPr>
                      <w:color w:val="auto"/>
                    </w:rPr>
                    <w:t>30</w:t>
                  </w:r>
                  <w:r>
                    <w:rPr>
                      <w:rFonts w:hint="eastAsia"/>
                      <w:color w:val="auto"/>
                    </w:rPr>
                    <w:t>*</w:t>
                  </w:r>
                  <w:r>
                    <w:rPr>
                      <w:color w:val="auto"/>
                    </w:rPr>
                    <w:t>200</w:t>
                  </w:r>
                </w:p>
              </w:tc>
              <w:tc>
                <w:tcPr>
                  <w:tcW w:w="1219" w:type="dxa"/>
                  <w:vAlign w:val="center"/>
                </w:tcPr>
                <w:p>
                  <w:pPr>
                    <w:pStyle w:val="178"/>
                    <w:rPr>
                      <w:color w:val="auto"/>
                    </w:rPr>
                  </w:pPr>
                  <w:r>
                    <w:rPr>
                      <w:color w:val="auto"/>
                    </w:rPr>
                    <w:t>8</w:t>
                  </w:r>
                </w:p>
              </w:tc>
            </w:tr>
          </w:tbl>
          <w:p>
            <w:pPr>
              <w:spacing w:before="120" w:beforeLines="50" w:line="360" w:lineRule="auto"/>
              <w:ind w:firstLine="482" w:firstLineChars="200"/>
              <w:rPr>
                <w:lang w:val="en-GB"/>
              </w:rPr>
            </w:pPr>
            <w:r>
              <w:rPr>
                <w:rFonts w:hint="eastAsia"/>
                <w:b/>
                <w:bCs/>
                <w:lang w:val="en-GB"/>
              </w:rPr>
              <w:t>4</w:t>
            </w:r>
            <w:r>
              <w:rPr>
                <w:b/>
                <w:bCs/>
                <w:lang w:val="en-GB"/>
              </w:rPr>
              <w:t>、</w:t>
            </w:r>
            <w:r>
              <w:rPr>
                <w:rFonts w:hint="eastAsia"/>
                <w:b/>
                <w:bCs/>
                <w:lang w:val="en-GB"/>
              </w:rPr>
              <w:t>排放口情况</w:t>
            </w:r>
          </w:p>
          <w:p>
            <w:pPr>
              <w:adjustRightInd w:val="0"/>
              <w:snapToGrid w:val="0"/>
              <w:spacing w:line="360" w:lineRule="auto"/>
              <w:ind w:firstLine="480" w:firstLineChars="200"/>
            </w:pPr>
            <w:r>
              <w:rPr>
                <w:rFonts w:hint="eastAsia"/>
              </w:rPr>
              <w:t>本项目有组织、无组织排放口情况见下表</w:t>
            </w:r>
            <w:r>
              <w:t>。</w:t>
            </w:r>
          </w:p>
          <w:p>
            <w:pPr>
              <w:pStyle w:val="100"/>
            </w:pPr>
            <w:r>
              <w:t>表</w:t>
            </w:r>
            <w:r>
              <w:rPr>
                <w:rFonts w:hint="eastAsia"/>
              </w:rPr>
              <w:t>4-</w:t>
            </w:r>
            <w:r>
              <w:t xml:space="preserve">6 </w:t>
            </w:r>
            <w:r>
              <w:rPr>
                <w:rFonts w:hint="eastAsia"/>
              </w:rPr>
              <w:t>有组织废气污染源排放口参数一览表</w:t>
            </w:r>
          </w:p>
          <w:tbl>
            <w:tblPr>
              <w:tblStyle w:val="50"/>
              <w:tblW w:w="83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7"/>
              <w:gridCol w:w="701"/>
              <w:gridCol w:w="669"/>
              <w:gridCol w:w="669"/>
              <w:gridCol w:w="684"/>
              <w:gridCol w:w="684"/>
              <w:gridCol w:w="684"/>
              <w:gridCol w:w="795"/>
              <w:gridCol w:w="674"/>
              <w:gridCol w:w="543"/>
              <w:gridCol w:w="377"/>
              <w:gridCol w:w="652"/>
              <w:gridCol w:w="8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7" w:hRule="atLeast"/>
                <w:jc w:val="center"/>
              </w:trPr>
              <w:tc>
                <w:tcPr>
                  <w:tcW w:w="377" w:type="dxa"/>
                  <w:vMerge w:val="restart"/>
                  <w:vAlign w:val="center"/>
                </w:tcPr>
                <w:p>
                  <w:pPr>
                    <w:adjustRightInd w:val="0"/>
                    <w:snapToGrid w:val="0"/>
                    <w:spacing w:line="360" w:lineRule="auto"/>
                    <w:jc w:val="center"/>
                    <w:rPr>
                      <w:b/>
                      <w:sz w:val="21"/>
                      <w:szCs w:val="21"/>
                    </w:rPr>
                  </w:pPr>
                  <w:r>
                    <w:rPr>
                      <w:rFonts w:hint="eastAsia"/>
                      <w:b/>
                      <w:sz w:val="21"/>
                      <w:szCs w:val="21"/>
                    </w:rPr>
                    <w:t>编号</w:t>
                  </w:r>
                </w:p>
              </w:tc>
              <w:tc>
                <w:tcPr>
                  <w:tcW w:w="701" w:type="dxa"/>
                  <w:vMerge w:val="restart"/>
                  <w:vAlign w:val="center"/>
                </w:tcPr>
                <w:p>
                  <w:pPr>
                    <w:adjustRightInd w:val="0"/>
                    <w:snapToGrid w:val="0"/>
                    <w:spacing w:line="360" w:lineRule="auto"/>
                    <w:jc w:val="center"/>
                    <w:rPr>
                      <w:b/>
                      <w:sz w:val="21"/>
                      <w:szCs w:val="21"/>
                    </w:rPr>
                  </w:pPr>
                  <w:r>
                    <w:rPr>
                      <w:rFonts w:hint="eastAsia"/>
                      <w:b/>
                      <w:sz w:val="21"/>
                      <w:szCs w:val="21"/>
                    </w:rPr>
                    <w:t>名称</w:t>
                  </w:r>
                </w:p>
              </w:tc>
              <w:tc>
                <w:tcPr>
                  <w:tcW w:w="1338" w:type="dxa"/>
                  <w:gridSpan w:val="2"/>
                  <w:vAlign w:val="center"/>
                </w:tcPr>
                <w:p>
                  <w:pPr>
                    <w:adjustRightInd w:val="0"/>
                    <w:snapToGrid w:val="0"/>
                    <w:spacing w:line="360" w:lineRule="auto"/>
                    <w:jc w:val="center"/>
                    <w:rPr>
                      <w:b/>
                      <w:sz w:val="21"/>
                      <w:szCs w:val="21"/>
                    </w:rPr>
                  </w:pPr>
                  <w:r>
                    <w:rPr>
                      <w:rFonts w:hint="eastAsia"/>
                      <w:b/>
                      <w:sz w:val="21"/>
                      <w:szCs w:val="21"/>
                    </w:rPr>
                    <w:t>排气筒底部中心坐标/°</w:t>
                  </w:r>
                </w:p>
              </w:tc>
              <w:tc>
                <w:tcPr>
                  <w:tcW w:w="684" w:type="dxa"/>
                  <w:vMerge w:val="restart"/>
                  <w:vAlign w:val="center"/>
                </w:tcPr>
                <w:p>
                  <w:pPr>
                    <w:adjustRightInd w:val="0"/>
                    <w:snapToGrid w:val="0"/>
                    <w:spacing w:line="360" w:lineRule="auto"/>
                    <w:jc w:val="center"/>
                    <w:rPr>
                      <w:b/>
                      <w:sz w:val="21"/>
                      <w:szCs w:val="21"/>
                    </w:rPr>
                  </w:pPr>
                  <w:r>
                    <w:rPr>
                      <w:rFonts w:hint="eastAsia"/>
                      <w:b/>
                      <w:sz w:val="21"/>
                      <w:szCs w:val="21"/>
                    </w:rPr>
                    <w:t>排气筒底部海拔高度</w:t>
                  </w:r>
                </w:p>
                <w:p>
                  <w:pPr>
                    <w:adjustRightInd w:val="0"/>
                    <w:snapToGrid w:val="0"/>
                    <w:spacing w:line="360" w:lineRule="auto"/>
                    <w:jc w:val="center"/>
                    <w:rPr>
                      <w:b/>
                      <w:sz w:val="21"/>
                      <w:szCs w:val="21"/>
                    </w:rPr>
                  </w:pPr>
                  <w:r>
                    <w:rPr>
                      <w:rFonts w:hint="eastAsia"/>
                      <w:b/>
                      <w:sz w:val="21"/>
                      <w:szCs w:val="21"/>
                    </w:rPr>
                    <w:t>（m）</w:t>
                  </w:r>
                </w:p>
              </w:tc>
              <w:tc>
                <w:tcPr>
                  <w:tcW w:w="684" w:type="dxa"/>
                  <w:vMerge w:val="restart"/>
                  <w:vAlign w:val="center"/>
                </w:tcPr>
                <w:p>
                  <w:pPr>
                    <w:adjustRightInd w:val="0"/>
                    <w:snapToGrid w:val="0"/>
                    <w:spacing w:line="360" w:lineRule="auto"/>
                    <w:jc w:val="center"/>
                    <w:rPr>
                      <w:b/>
                      <w:sz w:val="21"/>
                      <w:szCs w:val="21"/>
                    </w:rPr>
                  </w:pPr>
                  <w:r>
                    <w:rPr>
                      <w:rFonts w:hint="eastAsia"/>
                      <w:b/>
                      <w:sz w:val="21"/>
                      <w:szCs w:val="21"/>
                    </w:rPr>
                    <w:t>排气筒高度（m）</w:t>
                  </w:r>
                </w:p>
              </w:tc>
              <w:tc>
                <w:tcPr>
                  <w:tcW w:w="684" w:type="dxa"/>
                  <w:vMerge w:val="restart"/>
                  <w:vAlign w:val="center"/>
                </w:tcPr>
                <w:p>
                  <w:pPr>
                    <w:adjustRightInd w:val="0"/>
                    <w:snapToGrid w:val="0"/>
                    <w:spacing w:line="360" w:lineRule="auto"/>
                    <w:jc w:val="center"/>
                    <w:rPr>
                      <w:b/>
                      <w:sz w:val="21"/>
                      <w:szCs w:val="21"/>
                    </w:rPr>
                  </w:pPr>
                  <w:r>
                    <w:rPr>
                      <w:rFonts w:hint="eastAsia"/>
                      <w:b/>
                      <w:sz w:val="21"/>
                      <w:szCs w:val="21"/>
                    </w:rPr>
                    <w:t>排气筒出口内径（m）</w:t>
                  </w:r>
                </w:p>
              </w:tc>
              <w:tc>
                <w:tcPr>
                  <w:tcW w:w="795" w:type="dxa"/>
                  <w:vMerge w:val="restart"/>
                  <w:vAlign w:val="center"/>
                </w:tcPr>
                <w:p>
                  <w:pPr>
                    <w:adjustRightInd w:val="0"/>
                    <w:snapToGrid w:val="0"/>
                    <w:spacing w:line="360" w:lineRule="auto"/>
                    <w:jc w:val="center"/>
                    <w:rPr>
                      <w:b/>
                      <w:sz w:val="21"/>
                      <w:szCs w:val="21"/>
                    </w:rPr>
                  </w:pPr>
                  <w:r>
                    <w:rPr>
                      <w:rFonts w:hint="eastAsia"/>
                      <w:b/>
                      <w:sz w:val="21"/>
                      <w:szCs w:val="21"/>
                    </w:rPr>
                    <w:t>烟气流速（m/s）</w:t>
                  </w:r>
                </w:p>
              </w:tc>
              <w:tc>
                <w:tcPr>
                  <w:tcW w:w="674" w:type="dxa"/>
                  <w:vMerge w:val="restart"/>
                  <w:vAlign w:val="center"/>
                </w:tcPr>
                <w:p>
                  <w:pPr>
                    <w:adjustRightInd w:val="0"/>
                    <w:snapToGrid w:val="0"/>
                    <w:spacing w:line="360" w:lineRule="auto"/>
                    <w:jc w:val="center"/>
                    <w:rPr>
                      <w:b/>
                      <w:sz w:val="21"/>
                      <w:szCs w:val="21"/>
                    </w:rPr>
                  </w:pPr>
                  <w:r>
                    <w:rPr>
                      <w:rFonts w:hint="eastAsia"/>
                      <w:b/>
                      <w:sz w:val="21"/>
                      <w:szCs w:val="21"/>
                    </w:rPr>
                    <w:t>烟气温度（K）</w:t>
                  </w:r>
                </w:p>
              </w:tc>
              <w:tc>
                <w:tcPr>
                  <w:tcW w:w="543" w:type="dxa"/>
                  <w:vMerge w:val="restart"/>
                  <w:vAlign w:val="center"/>
                </w:tcPr>
                <w:p>
                  <w:pPr>
                    <w:adjustRightInd w:val="0"/>
                    <w:snapToGrid w:val="0"/>
                    <w:spacing w:line="360" w:lineRule="auto"/>
                    <w:jc w:val="center"/>
                    <w:rPr>
                      <w:b/>
                      <w:sz w:val="21"/>
                      <w:szCs w:val="21"/>
                    </w:rPr>
                  </w:pPr>
                  <w:r>
                    <w:rPr>
                      <w:rFonts w:hint="eastAsia"/>
                      <w:b/>
                      <w:sz w:val="21"/>
                      <w:szCs w:val="21"/>
                    </w:rPr>
                    <w:t>年排放小时数/h</w:t>
                  </w:r>
                </w:p>
              </w:tc>
              <w:tc>
                <w:tcPr>
                  <w:tcW w:w="377" w:type="dxa"/>
                  <w:vMerge w:val="restart"/>
                  <w:vAlign w:val="center"/>
                </w:tcPr>
                <w:p>
                  <w:pPr>
                    <w:adjustRightInd w:val="0"/>
                    <w:snapToGrid w:val="0"/>
                    <w:spacing w:line="360" w:lineRule="auto"/>
                    <w:jc w:val="center"/>
                    <w:rPr>
                      <w:b/>
                      <w:sz w:val="21"/>
                      <w:szCs w:val="21"/>
                    </w:rPr>
                  </w:pPr>
                  <w:r>
                    <w:rPr>
                      <w:rFonts w:hint="eastAsia"/>
                      <w:b/>
                      <w:sz w:val="21"/>
                      <w:szCs w:val="21"/>
                    </w:rPr>
                    <w:t>排放工况</w:t>
                  </w:r>
                </w:p>
              </w:tc>
              <w:tc>
                <w:tcPr>
                  <w:tcW w:w="652" w:type="dxa"/>
                  <w:vMerge w:val="restart"/>
                  <w:vAlign w:val="center"/>
                </w:tcPr>
                <w:p>
                  <w:pPr>
                    <w:adjustRightInd w:val="0"/>
                    <w:snapToGrid w:val="0"/>
                    <w:spacing w:line="360" w:lineRule="auto"/>
                    <w:jc w:val="center"/>
                    <w:rPr>
                      <w:b/>
                      <w:sz w:val="21"/>
                      <w:szCs w:val="21"/>
                    </w:rPr>
                  </w:pPr>
                  <w:r>
                    <w:rPr>
                      <w:rFonts w:hint="eastAsia"/>
                      <w:b/>
                      <w:sz w:val="21"/>
                      <w:szCs w:val="21"/>
                    </w:rPr>
                    <w:t>污染物名称</w:t>
                  </w:r>
                </w:p>
              </w:tc>
              <w:tc>
                <w:tcPr>
                  <w:tcW w:w="835" w:type="dxa"/>
                  <w:vMerge w:val="restart"/>
                  <w:vAlign w:val="center"/>
                </w:tcPr>
                <w:p>
                  <w:pPr>
                    <w:adjustRightInd w:val="0"/>
                    <w:snapToGrid w:val="0"/>
                    <w:spacing w:line="360" w:lineRule="auto"/>
                    <w:jc w:val="center"/>
                    <w:rPr>
                      <w:b/>
                      <w:sz w:val="21"/>
                      <w:szCs w:val="21"/>
                    </w:rPr>
                  </w:pPr>
                  <w:r>
                    <w:rPr>
                      <w:rFonts w:hint="eastAsia"/>
                      <w:b/>
                      <w:sz w:val="21"/>
                      <w:szCs w:val="21"/>
                    </w:rPr>
                    <w:t>排放速率（kg/h）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377" w:type="dxa"/>
                  <w:vMerge w:val="continue"/>
                  <w:vAlign w:val="center"/>
                </w:tcPr>
                <w:p>
                  <w:pPr>
                    <w:adjustRightInd w:val="0"/>
                    <w:snapToGrid w:val="0"/>
                    <w:spacing w:line="360" w:lineRule="auto"/>
                    <w:jc w:val="center"/>
                    <w:rPr>
                      <w:sz w:val="21"/>
                      <w:szCs w:val="21"/>
                    </w:rPr>
                  </w:pPr>
                </w:p>
              </w:tc>
              <w:tc>
                <w:tcPr>
                  <w:tcW w:w="701" w:type="dxa"/>
                  <w:vMerge w:val="continue"/>
                  <w:vAlign w:val="center"/>
                </w:tcPr>
                <w:p>
                  <w:pPr>
                    <w:adjustRightInd w:val="0"/>
                    <w:snapToGrid w:val="0"/>
                    <w:spacing w:line="360" w:lineRule="auto"/>
                    <w:jc w:val="center"/>
                    <w:rPr>
                      <w:sz w:val="21"/>
                      <w:szCs w:val="21"/>
                    </w:rPr>
                  </w:pPr>
                </w:p>
              </w:tc>
              <w:tc>
                <w:tcPr>
                  <w:tcW w:w="669" w:type="dxa"/>
                  <w:vAlign w:val="center"/>
                </w:tcPr>
                <w:p>
                  <w:pPr>
                    <w:adjustRightInd w:val="0"/>
                    <w:snapToGrid w:val="0"/>
                    <w:spacing w:line="360" w:lineRule="auto"/>
                    <w:jc w:val="center"/>
                    <w:rPr>
                      <w:b/>
                      <w:sz w:val="21"/>
                      <w:szCs w:val="21"/>
                    </w:rPr>
                  </w:pPr>
                  <w:r>
                    <w:rPr>
                      <w:rFonts w:hint="eastAsia"/>
                      <w:b/>
                      <w:sz w:val="21"/>
                      <w:szCs w:val="21"/>
                    </w:rPr>
                    <w:t>X</w:t>
                  </w:r>
                </w:p>
              </w:tc>
              <w:tc>
                <w:tcPr>
                  <w:tcW w:w="669" w:type="dxa"/>
                  <w:vAlign w:val="center"/>
                </w:tcPr>
                <w:p>
                  <w:pPr>
                    <w:adjustRightInd w:val="0"/>
                    <w:snapToGrid w:val="0"/>
                    <w:spacing w:line="360" w:lineRule="auto"/>
                    <w:jc w:val="center"/>
                    <w:rPr>
                      <w:b/>
                      <w:sz w:val="21"/>
                      <w:szCs w:val="21"/>
                    </w:rPr>
                  </w:pPr>
                  <w:r>
                    <w:rPr>
                      <w:rFonts w:hint="eastAsia"/>
                      <w:b/>
                      <w:sz w:val="21"/>
                      <w:szCs w:val="21"/>
                    </w:rPr>
                    <w:t>Y</w:t>
                  </w:r>
                </w:p>
              </w:tc>
              <w:tc>
                <w:tcPr>
                  <w:tcW w:w="684"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795" w:type="dxa"/>
                  <w:vMerge w:val="continue"/>
                  <w:vAlign w:val="center"/>
                </w:tcPr>
                <w:p>
                  <w:pPr>
                    <w:adjustRightInd w:val="0"/>
                    <w:snapToGrid w:val="0"/>
                    <w:spacing w:line="360" w:lineRule="auto"/>
                    <w:jc w:val="center"/>
                    <w:rPr>
                      <w:sz w:val="21"/>
                      <w:szCs w:val="21"/>
                    </w:rPr>
                  </w:pPr>
                </w:p>
              </w:tc>
              <w:tc>
                <w:tcPr>
                  <w:tcW w:w="674" w:type="dxa"/>
                  <w:vMerge w:val="continue"/>
                  <w:vAlign w:val="center"/>
                </w:tcPr>
                <w:p>
                  <w:pPr>
                    <w:adjustRightInd w:val="0"/>
                    <w:snapToGrid w:val="0"/>
                    <w:spacing w:line="360" w:lineRule="auto"/>
                    <w:jc w:val="center"/>
                    <w:rPr>
                      <w:sz w:val="21"/>
                      <w:szCs w:val="21"/>
                    </w:rPr>
                  </w:pPr>
                </w:p>
              </w:tc>
              <w:tc>
                <w:tcPr>
                  <w:tcW w:w="543" w:type="dxa"/>
                  <w:vMerge w:val="continue"/>
                  <w:vAlign w:val="center"/>
                </w:tcPr>
                <w:p>
                  <w:pPr>
                    <w:adjustRightInd w:val="0"/>
                    <w:snapToGrid w:val="0"/>
                    <w:spacing w:line="360" w:lineRule="auto"/>
                    <w:jc w:val="center"/>
                    <w:rPr>
                      <w:sz w:val="21"/>
                      <w:szCs w:val="21"/>
                    </w:rPr>
                  </w:pPr>
                </w:p>
              </w:tc>
              <w:tc>
                <w:tcPr>
                  <w:tcW w:w="377" w:type="dxa"/>
                  <w:vMerge w:val="continue"/>
                  <w:vAlign w:val="center"/>
                </w:tcPr>
                <w:p>
                  <w:pPr>
                    <w:adjustRightInd w:val="0"/>
                    <w:snapToGrid w:val="0"/>
                    <w:spacing w:line="360" w:lineRule="auto"/>
                    <w:jc w:val="center"/>
                    <w:rPr>
                      <w:sz w:val="21"/>
                      <w:szCs w:val="21"/>
                    </w:rPr>
                  </w:pPr>
                </w:p>
              </w:tc>
              <w:tc>
                <w:tcPr>
                  <w:tcW w:w="652" w:type="dxa"/>
                  <w:vMerge w:val="continue"/>
                  <w:vAlign w:val="center"/>
                </w:tcPr>
                <w:p>
                  <w:pPr>
                    <w:adjustRightInd w:val="0"/>
                    <w:snapToGrid w:val="0"/>
                    <w:spacing w:line="360" w:lineRule="auto"/>
                    <w:jc w:val="center"/>
                    <w:rPr>
                      <w:sz w:val="21"/>
                      <w:szCs w:val="21"/>
                    </w:rPr>
                  </w:pPr>
                </w:p>
              </w:tc>
              <w:tc>
                <w:tcPr>
                  <w:tcW w:w="835" w:type="dxa"/>
                  <w:vMerge w:val="continue"/>
                  <w:vAlign w:val="center"/>
                </w:tcPr>
                <w:p>
                  <w:pPr>
                    <w:adjustRightInd w:val="0"/>
                    <w:snapToGrid w:val="0"/>
                    <w:spacing w:line="360" w:lineRule="auto"/>
                    <w:jc w:val="center"/>
                    <w:rPr>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77" w:type="dxa"/>
                  <w:vMerge w:val="restart"/>
                  <w:vAlign w:val="center"/>
                </w:tcPr>
                <w:p>
                  <w:pPr>
                    <w:adjustRightInd w:val="0"/>
                    <w:snapToGrid w:val="0"/>
                    <w:spacing w:line="360" w:lineRule="auto"/>
                    <w:jc w:val="center"/>
                    <w:rPr>
                      <w:sz w:val="21"/>
                      <w:szCs w:val="21"/>
                    </w:rPr>
                  </w:pPr>
                  <w:r>
                    <w:rPr>
                      <w:sz w:val="21"/>
                      <w:szCs w:val="21"/>
                    </w:rPr>
                    <w:t>1</w:t>
                  </w:r>
                </w:p>
              </w:tc>
              <w:tc>
                <w:tcPr>
                  <w:tcW w:w="701" w:type="dxa"/>
                  <w:vMerge w:val="restart"/>
                  <w:vAlign w:val="center"/>
                </w:tcPr>
                <w:p>
                  <w:pPr>
                    <w:adjustRightInd w:val="0"/>
                    <w:snapToGrid w:val="0"/>
                    <w:spacing w:line="360" w:lineRule="auto"/>
                    <w:jc w:val="center"/>
                    <w:rPr>
                      <w:bCs/>
                      <w:sz w:val="21"/>
                      <w:szCs w:val="21"/>
                    </w:rPr>
                  </w:pPr>
                  <w:r>
                    <w:rPr>
                      <w:rFonts w:hint="eastAsia"/>
                      <w:bCs/>
                      <w:sz w:val="21"/>
                      <w:szCs w:val="21"/>
                    </w:rPr>
                    <w:t>排气筒DA</w:t>
                  </w:r>
                  <w:r>
                    <w:rPr>
                      <w:bCs/>
                      <w:sz w:val="21"/>
                      <w:szCs w:val="21"/>
                    </w:rPr>
                    <w:t>002</w:t>
                  </w:r>
                </w:p>
              </w:tc>
              <w:tc>
                <w:tcPr>
                  <w:tcW w:w="669" w:type="dxa"/>
                  <w:vMerge w:val="restart"/>
                  <w:vAlign w:val="center"/>
                </w:tcPr>
                <w:p>
                  <w:pPr>
                    <w:adjustRightInd w:val="0"/>
                    <w:snapToGrid w:val="0"/>
                    <w:spacing w:line="360" w:lineRule="auto"/>
                    <w:jc w:val="center"/>
                    <w:rPr>
                      <w:sz w:val="21"/>
                      <w:szCs w:val="21"/>
                    </w:rPr>
                  </w:pPr>
                  <w:r>
                    <w:rPr>
                      <w:rFonts w:hint="eastAsia"/>
                      <w:sz w:val="21"/>
                      <w:szCs w:val="21"/>
                    </w:rPr>
                    <w:t>87°0</w:t>
                  </w:r>
                  <w:r>
                    <w:rPr>
                      <w:sz w:val="21"/>
                      <w:szCs w:val="21"/>
                    </w:rPr>
                    <w:t>2</w:t>
                  </w:r>
                  <w:r>
                    <w:rPr>
                      <w:rFonts w:hint="eastAsia"/>
                      <w:sz w:val="21"/>
                      <w:szCs w:val="21"/>
                    </w:rPr>
                    <w:t>′</w:t>
                  </w:r>
                  <w:r>
                    <w:rPr>
                      <w:sz w:val="21"/>
                      <w:szCs w:val="21"/>
                    </w:rPr>
                    <w:t>38</w:t>
                  </w:r>
                  <w:r>
                    <w:rPr>
                      <w:rFonts w:hint="eastAsia"/>
                      <w:sz w:val="21"/>
                      <w:szCs w:val="21"/>
                    </w:rPr>
                    <w:t>.</w:t>
                  </w:r>
                  <w:r>
                    <w:rPr>
                      <w:sz w:val="21"/>
                      <w:szCs w:val="21"/>
                    </w:rPr>
                    <w:t>600</w:t>
                  </w:r>
                  <w:r>
                    <w:rPr>
                      <w:rFonts w:hint="eastAsia"/>
                      <w:sz w:val="21"/>
                      <w:szCs w:val="21"/>
                    </w:rPr>
                    <w:t>″</w:t>
                  </w:r>
                </w:p>
              </w:tc>
              <w:tc>
                <w:tcPr>
                  <w:tcW w:w="669" w:type="dxa"/>
                  <w:vMerge w:val="restart"/>
                  <w:vAlign w:val="center"/>
                </w:tcPr>
                <w:p>
                  <w:pPr>
                    <w:adjustRightInd w:val="0"/>
                    <w:snapToGrid w:val="0"/>
                    <w:spacing w:line="360" w:lineRule="auto"/>
                    <w:jc w:val="center"/>
                    <w:rPr>
                      <w:sz w:val="21"/>
                      <w:szCs w:val="21"/>
                    </w:rPr>
                  </w:pPr>
                  <w:r>
                    <w:rPr>
                      <w:rFonts w:hint="eastAsia"/>
                      <w:sz w:val="21"/>
                      <w:szCs w:val="21"/>
                    </w:rPr>
                    <w:t>44°0</w:t>
                  </w:r>
                  <w:r>
                    <w:rPr>
                      <w:sz w:val="21"/>
                      <w:szCs w:val="21"/>
                    </w:rPr>
                    <w:t>7</w:t>
                  </w:r>
                  <w:r>
                    <w:rPr>
                      <w:rFonts w:hint="eastAsia"/>
                      <w:sz w:val="21"/>
                      <w:szCs w:val="21"/>
                    </w:rPr>
                    <w:t>′</w:t>
                  </w:r>
                  <w:r>
                    <w:rPr>
                      <w:sz w:val="21"/>
                      <w:szCs w:val="21"/>
                    </w:rPr>
                    <w:t>18</w:t>
                  </w:r>
                  <w:r>
                    <w:rPr>
                      <w:rFonts w:hint="eastAsia"/>
                      <w:sz w:val="21"/>
                      <w:szCs w:val="21"/>
                    </w:rPr>
                    <w:t>.</w:t>
                  </w:r>
                  <w:r>
                    <w:rPr>
                      <w:sz w:val="21"/>
                      <w:szCs w:val="21"/>
                    </w:rPr>
                    <w:t>641</w:t>
                  </w:r>
                  <w:r>
                    <w:rPr>
                      <w:rFonts w:hint="eastAsia"/>
                      <w:sz w:val="21"/>
                      <w:szCs w:val="21"/>
                    </w:rPr>
                    <w:t>″</w:t>
                  </w:r>
                </w:p>
              </w:tc>
              <w:tc>
                <w:tcPr>
                  <w:tcW w:w="684" w:type="dxa"/>
                  <w:vMerge w:val="restart"/>
                  <w:vAlign w:val="center"/>
                </w:tcPr>
                <w:p>
                  <w:pPr>
                    <w:adjustRightInd w:val="0"/>
                    <w:snapToGrid w:val="0"/>
                    <w:spacing w:line="360" w:lineRule="auto"/>
                    <w:jc w:val="center"/>
                    <w:rPr>
                      <w:sz w:val="21"/>
                      <w:szCs w:val="21"/>
                    </w:rPr>
                  </w:pPr>
                  <w:r>
                    <w:rPr>
                      <w:sz w:val="21"/>
                      <w:szCs w:val="21"/>
                    </w:rPr>
                    <w:t>534</w:t>
                  </w:r>
                  <w:r>
                    <w:rPr>
                      <w:rFonts w:hint="eastAsia"/>
                      <w:sz w:val="21"/>
                      <w:szCs w:val="21"/>
                    </w:rPr>
                    <w:t>.</w:t>
                  </w:r>
                  <w:r>
                    <w:rPr>
                      <w:sz w:val="21"/>
                      <w:szCs w:val="21"/>
                    </w:rPr>
                    <w:t>8</w:t>
                  </w:r>
                </w:p>
              </w:tc>
              <w:tc>
                <w:tcPr>
                  <w:tcW w:w="684" w:type="dxa"/>
                  <w:vMerge w:val="restart"/>
                  <w:vAlign w:val="center"/>
                </w:tcPr>
                <w:p>
                  <w:pPr>
                    <w:adjustRightInd w:val="0"/>
                    <w:snapToGrid w:val="0"/>
                    <w:spacing w:line="360" w:lineRule="auto"/>
                    <w:jc w:val="center"/>
                    <w:rPr>
                      <w:sz w:val="21"/>
                      <w:szCs w:val="21"/>
                    </w:rPr>
                  </w:pPr>
                  <w:r>
                    <w:rPr>
                      <w:sz w:val="21"/>
                      <w:szCs w:val="21"/>
                    </w:rPr>
                    <w:t>15</w:t>
                  </w:r>
                </w:p>
              </w:tc>
              <w:tc>
                <w:tcPr>
                  <w:tcW w:w="684" w:type="dxa"/>
                  <w:vMerge w:val="restart"/>
                  <w:vAlign w:val="center"/>
                </w:tcPr>
                <w:p>
                  <w:pPr>
                    <w:adjustRightInd w:val="0"/>
                    <w:snapToGrid w:val="0"/>
                    <w:spacing w:line="360" w:lineRule="auto"/>
                    <w:jc w:val="center"/>
                    <w:rPr>
                      <w:sz w:val="21"/>
                      <w:szCs w:val="21"/>
                    </w:rPr>
                  </w:pPr>
                  <w:r>
                    <w:rPr>
                      <w:rFonts w:hint="eastAsia"/>
                      <w:kern w:val="0"/>
                      <w:sz w:val="21"/>
                      <w:szCs w:val="20"/>
                    </w:rPr>
                    <w:t>0.</w:t>
                  </w:r>
                  <w:r>
                    <w:rPr>
                      <w:kern w:val="0"/>
                      <w:sz w:val="21"/>
                      <w:szCs w:val="20"/>
                    </w:rPr>
                    <w:t>35</w:t>
                  </w:r>
                </w:p>
              </w:tc>
              <w:tc>
                <w:tcPr>
                  <w:tcW w:w="795" w:type="dxa"/>
                  <w:vMerge w:val="restart"/>
                  <w:vAlign w:val="center"/>
                </w:tcPr>
                <w:p>
                  <w:pPr>
                    <w:adjustRightInd w:val="0"/>
                    <w:snapToGrid w:val="0"/>
                    <w:spacing w:line="360" w:lineRule="auto"/>
                    <w:jc w:val="center"/>
                    <w:rPr>
                      <w:sz w:val="21"/>
                      <w:szCs w:val="21"/>
                    </w:rPr>
                  </w:pPr>
                  <w:r>
                    <w:rPr>
                      <w:rFonts w:hint="eastAsia"/>
                      <w:sz w:val="21"/>
                      <w:szCs w:val="21"/>
                    </w:rPr>
                    <w:t>7.</w:t>
                  </w:r>
                  <w:r>
                    <w:rPr>
                      <w:sz w:val="21"/>
                      <w:szCs w:val="21"/>
                    </w:rPr>
                    <w:t>13</w:t>
                  </w:r>
                </w:p>
              </w:tc>
              <w:tc>
                <w:tcPr>
                  <w:tcW w:w="674" w:type="dxa"/>
                  <w:vMerge w:val="restart"/>
                  <w:vAlign w:val="center"/>
                </w:tcPr>
                <w:p>
                  <w:pPr>
                    <w:adjustRightInd w:val="0"/>
                    <w:snapToGrid w:val="0"/>
                    <w:spacing w:line="360" w:lineRule="auto"/>
                    <w:jc w:val="center"/>
                    <w:rPr>
                      <w:sz w:val="21"/>
                      <w:szCs w:val="21"/>
                    </w:rPr>
                  </w:pPr>
                  <w:r>
                    <w:rPr>
                      <w:sz w:val="21"/>
                      <w:szCs w:val="21"/>
                    </w:rPr>
                    <w:t>298</w:t>
                  </w:r>
                  <w:r>
                    <w:rPr>
                      <w:rFonts w:hint="eastAsia"/>
                      <w:sz w:val="21"/>
                      <w:szCs w:val="21"/>
                    </w:rPr>
                    <w:t>.</w:t>
                  </w:r>
                  <w:r>
                    <w:rPr>
                      <w:sz w:val="21"/>
                      <w:szCs w:val="21"/>
                    </w:rPr>
                    <w:t>15</w:t>
                  </w:r>
                </w:p>
              </w:tc>
              <w:tc>
                <w:tcPr>
                  <w:tcW w:w="543" w:type="dxa"/>
                  <w:vMerge w:val="restart"/>
                  <w:vAlign w:val="center"/>
                </w:tcPr>
                <w:p>
                  <w:pPr>
                    <w:adjustRightInd w:val="0"/>
                    <w:snapToGrid w:val="0"/>
                    <w:spacing w:line="360" w:lineRule="auto"/>
                    <w:jc w:val="center"/>
                    <w:rPr>
                      <w:sz w:val="21"/>
                      <w:szCs w:val="21"/>
                    </w:rPr>
                  </w:pPr>
                  <w:r>
                    <w:rPr>
                      <w:rFonts w:hint="eastAsia"/>
                      <w:sz w:val="21"/>
                      <w:szCs w:val="21"/>
                    </w:rPr>
                    <w:t>2</w:t>
                  </w:r>
                  <w:r>
                    <w:rPr>
                      <w:sz w:val="21"/>
                      <w:szCs w:val="21"/>
                    </w:rPr>
                    <w:t>400</w:t>
                  </w:r>
                </w:p>
              </w:tc>
              <w:tc>
                <w:tcPr>
                  <w:tcW w:w="377" w:type="dxa"/>
                  <w:vMerge w:val="restart"/>
                  <w:vAlign w:val="center"/>
                </w:tcPr>
                <w:p>
                  <w:pPr>
                    <w:adjustRightInd w:val="0"/>
                    <w:snapToGrid w:val="0"/>
                    <w:spacing w:line="360" w:lineRule="auto"/>
                    <w:jc w:val="center"/>
                    <w:rPr>
                      <w:sz w:val="21"/>
                      <w:szCs w:val="21"/>
                    </w:rPr>
                  </w:pPr>
                  <w:r>
                    <w:rPr>
                      <w:rFonts w:hint="eastAsia"/>
                      <w:sz w:val="21"/>
                      <w:szCs w:val="21"/>
                    </w:rPr>
                    <w:t>正常</w:t>
                  </w:r>
                </w:p>
              </w:tc>
              <w:tc>
                <w:tcPr>
                  <w:tcW w:w="652" w:type="dxa"/>
                  <w:vAlign w:val="center"/>
                </w:tcPr>
                <w:p>
                  <w:pPr>
                    <w:adjustRightInd w:val="0"/>
                    <w:snapToGrid w:val="0"/>
                    <w:spacing w:line="360" w:lineRule="auto"/>
                    <w:jc w:val="center"/>
                    <w:rPr>
                      <w:sz w:val="21"/>
                      <w:szCs w:val="21"/>
                    </w:rPr>
                  </w:pPr>
                  <w:r>
                    <w:rPr>
                      <w:rFonts w:hint="eastAsia"/>
                      <w:sz w:val="21"/>
                      <w:szCs w:val="21"/>
                    </w:rPr>
                    <w:t>颗粒物</w:t>
                  </w:r>
                </w:p>
              </w:tc>
              <w:tc>
                <w:tcPr>
                  <w:tcW w:w="835" w:type="dxa"/>
                  <w:vAlign w:val="center"/>
                </w:tcPr>
                <w:p>
                  <w:pPr>
                    <w:adjustRightInd w:val="0"/>
                    <w:snapToGrid w:val="0"/>
                    <w:spacing w:line="360" w:lineRule="auto"/>
                    <w:jc w:val="center"/>
                    <w:rPr>
                      <w:sz w:val="21"/>
                    </w:rPr>
                  </w:pPr>
                  <w:r>
                    <w:rPr>
                      <w:rFonts w:hint="eastAsia"/>
                      <w:kern w:val="0"/>
                      <w:sz w:val="21"/>
                      <w:szCs w:val="20"/>
                    </w:rPr>
                    <w:t>0.</w:t>
                  </w:r>
                  <w:r>
                    <w:rPr>
                      <w:kern w:val="0"/>
                      <w:sz w:val="21"/>
                      <w:szCs w:val="20"/>
                    </w:rPr>
                    <w:t>0574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77" w:type="dxa"/>
                  <w:vMerge w:val="continue"/>
                  <w:vAlign w:val="center"/>
                </w:tcPr>
                <w:p>
                  <w:pPr>
                    <w:adjustRightInd w:val="0"/>
                    <w:snapToGrid w:val="0"/>
                    <w:spacing w:line="360" w:lineRule="auto"/>
                    <w:jc w:val="center"/>
                    <w:rPr>
                      <w:sz w:val="21"/>
                      <w:szCs w:val="21"/>
                    </w:rPr>
                  </w:pPr>
                </w:p>
              </w:tc>
              <w:tc>
                <w:tcPr>
                  <w:tcW w:w="701" w:type="dxa"/>
                  <w:vMerge w:val="continue"/>
                  <w:vAlign w:val="center"/>
                </w:tcPr>
                <w:p>
                  <w:pPr>
                    <w:adjustRightInd w:val="0"/>
                    <w:snapToGrid w:val="0"/>
                    <w:spacing w:line="360" w:lineRule="auto"/>
                    <w:jc w:val="center"/>
                    <w:rPr>
                      <w:bCs/>
                      <w:sz w:val="21"/>
                      <w:szCs w:val="21"/>
                    </w:rPr>
                  </w:pPr>
                </w:p>
              </w:tc>
              <w:tc>
                <w:tcPr>
                  <w:tcW w:w="669" w:type="dxa"/>
                  <w:vMerge w:val="continue"/>
                  <w:vAlign w:val="center"/>
                </w:tcPr>
                <w:p>
                  <w:pPr>
                    <w:adjustRightInd w:val="0"/>
                    <w:snapToGrid w:val="0"/>
                    <w:spacing w:line="360" w:lineRule="auto"/>
                    <w:jc w:val="center"/>
                    <w:rPr>
                      <w:sz w:val="21"/>
                      <w:szCs w:val="21"/>
                    </w:rPr>
                  </w:pPr>
                </w:p>
              </w:tc>
              <w:tc>
                <w:tcPr>
                  <w:tcW w:w="669"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795" w:type="dxa"/>
                  <w:vMerge w:val="continue"/>
                  <w:vAlign w:val="center"/>
                </w:tcPr>
                <w:p>
                  <w:pPr>
                    <w:adjustRightInd w:val="0"/>
                    <w:snapToGrid w:val="0"/>
                    <w:spacing w:line="360" w:lineRule="auto"/>
                    <w:jc w:val="center"/>
                    <w:rPr>
                      <w:sz w:val="21"/>
                      <w:szCs w:val="21"/>
                    </w:rPr>
                  </w:pPr>
                </w:p>
              </w:tc>
              <w:tc>
                <w:tcPr>
                  <w:tcW w:w="674" w:type="dxa"/>
                  <w:vMerge w:val="continue"/>
                  <w:vAlign w:val="center"/>
                </w:tcPr>
                <w:p>
                  <w:pPr>
                    <w:adjustRightInd w:val="0"/>
                    <w:snapToGrid w:val="0"/>
                    <w:spacing w:line="360" w:lineRule="auto"/>
                    <w:jc w:val="center"/>
                    <w:rPr>
                      <w:sz w:val="21"/>
                      <w:szCs w:val="21"/>
                    </w:rPr>
                  </w:pPr>
                </w:p>
              </w:tc>
              <w:tc>
                <w:tcPr>
                  <w:tcW w:w="543" w:type="dxa"/>
                  <w:vMerge w:val="continue"/>
                  <w:vAlign w:val="center"/>
                </w:tcPr>
                <w:p>
                  <w:pPr>
                    <w:adjustRightInd w:val="0"/>
                    <w:snapToGrid w:val="0"/>
                    <w:spacing w:line="360" w:lineRule="auto"/>
                    <w:jc w:val="center"/>
                    <w:rPr>
                      <w:sz w:val="21"/>
                      <w:szCs w:val="21"/>
                    </w:rPr>
                  </w:pPr>
                </w:p>
              </w:tc>
              <w:tc>
                <w:tcPr>
                  <w:tcW w:w="377" w:type="dxa"/>
                  <w:vMerge w:val="continue"/>
                  <w:vAlign w:val="center"/>
                </w:tcPr>
                <w:p>
                  <w:pPr>
                    <w:adjustRightInd w:val="0"/>
                    <w:snapToGrid w:val="0"/>
                    <w:spacing w:line="360" w:lineRule="auto"/>
                    <w:jc w:val="center"/>
                    <w:rPr>
                      <w:sz w:val="21"/>
                      <w:szCs w:val="21"/>
                    </w:rPr>
                  </w:pPr>
                </w:p>
              </w:tc>
              <w:tc>
                <w:tcPr>
                  <w:tcW w:w="652" w:type="dxa"/>
                  <w:vAlign w:val="center"/>
                </w:tcPr>
                <w:p>
                  <w:pPr>
                    <w:adjustRightInd w:val="0"/>
                    <w:snapToGrid w:val="0"/>
                    <w:spacing w:line="360" w:lineRule="auto"/>
                    <w:jc w:val="center"/>
                    <w:rPr>
                      <w:sz w:val="21"/>
                      <w:szCs w:val="21"/>
                    </w:rPr>
                  </w:pPr>
                  <w:r>
                    <w:rPr>
                      <w:rFonts w:hint="eastAsia"/>
                      <w:sz w:val="21"/>
                      <w:szCs w:val="21"/>
                    </w:rPr>
                    <w:t>VOCs</w:t>
                  </w:r>
                </w:p>
              </w:tc>
              <w:tc>
                <w:tcPr>
                  <w:tcW w:w="835" w:type="dxa"/>
                  <w:vAlign w:val="center"/>
                </w:tcPr>
                <w:p>
                  <w:pPr>
                    <w:adjustRightInd w:val="0"/>
                    <w:snapToGrid w:val="0"/>
                    <w:spacing w:line="360" w:lineRule="auto"/>
                    <w:jc w:val="center"/>
                    <w:rPr>
                      <w:sz w:val="21"/>
                    </w:rPr>
                  </w:pPr>
                  <w:r>
                    <w:rPr>
                      <w:rFonts w:hint="eastAsia"/>
                      <w:kern w:val="0"/>
                      <w:sz w:val="21"/>
                      <w:szCs w:val="20"/>
                    </w:rPr>
                    <w:t>0.</w:t>
                  </w:r>
                  <w:r>
                    <w:rPr>
                      <w:kern w:val="0"/>
                      <w:sz w:val="21"/>
                      <w:szCs w:val="20"/>
                    </w:rPr>
                    <w:t>0134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377" w:type="dxa"/>
                  <w:vAlign w:val="center"/>
                </w:tcPr>
                <w:p>
                  <w:pPr>
                    <w:adjustRightInd w:val="0"/>
                    <w:snapToGrid w:val="0"/>
                    <w:spacing w:line="360" w:lineRule="auto"/>
                    <w:jc w:val="center"/>
                    <w:rPr>
                      <w:sz w:val="21"/>
                      <w:szCs w:val="21"/>
                    </w:rPr>
                  </w:pPr>
                  <w:r>
                    <w:rPr>
                      <w:rFonts w:hint="eastAsia"/>
                      <w:sz w:val="21"/>
                      <w:szCs w:val="21"/>
                    </w:rPr>
                    <w:t>2</w:t>
                  </w:r>
                </w:p>
              </w:tc>
              <w:tc>
                <w:tcPr>
                  <w:tcW w:w="701" w:type="dxa"/>
                  <w:vAlign w:val="center"/>
                </w:tcPr>
                <w:p>
                  <w:pPr>
                    <w:adjustRightInd w:val="0"/>
                    <w:snapToGrid w:val="0"/>
                    <w:spacing w:line="360" w:lineRule="auto"/>
                    <w:jc w:val="center"/>
                    <w:rPr>
                      <w:bCs/>
                      <w:sz w:val="21"/>
                      <w:szCs w:val="21"/>
                    </w:rPr>
                  </w:pPr>
                  <w:r>
                    <w:rPr>
                      <w:rFonts w:hint="eastAsia"/>
                      <w:bCs/>
                      <w:sz w:val="21"/>
                      <w:szCs w:val="21"/>
                    </w:rPr>
                    <w:t>排气筒DA</w:t>
                  </w:r>
                  <w:r>
                    <w:rPr>
                      <w:bCs/>
                      <w:sz w:val="21"/>
                      <w:szCs w:val="21"/>
                    </w:rPr>
                    <w:t>004</w:t>
                  </w:r>
                </w:p>
              </w:tc>
              <w:tc>
                <w:tcPr>
                  <w:tcW w:w="669" w:type="dxa"/>
                  <w:vAlign w:val="center"/>
                </w:tcPr>
                <w:p>
                  <w:pPr>
                    <w:adjustRightInd w:val="0"/>
                    <w:snapToGrid w:val="0"/>
                    <w:spacing w:line="360" w:lineRule="auto"/>
                    <w:jc w:val="center"/>
                    <w:rPr>
                      <w:sz w:val="21"/>
                      <w:szCs w:val="21"/>
                    </w:rPr>
                  </w:pPr>
                  <w:r>
                    <w:rPr>
                      <w:rFonts w:hint="eastAsia"/>
                      <w:sz w:val="21"/>
                      <w:szCs w:val="21"/>
                    </w:rPr>
                    <w:t>87°0</w:t>
                  </w:r>
                  <w:r>
                    <w:rPr>
                      <w:sz w:val="21"/>
                      <w:szCs w:val="21"/>
                    </w:rPr>
                    <w:t>2</w:t>
                  </w:r>
                  <w:r>
                    <w:rPr>
                      <w:rFonts w:hint="eastAsia"/>
                      <w:sz w:val="21"/>
                      <w:szCs w:val="21"/>
                    </w:rPr>
                    <w:t>′</w:t>
                  </w:r>
                  <w:r>
                    <w:rPr>
                      <w:sz w:val="21"/>
                      <w:szCs w:val="21"/>
                    </w:rPr>
                    <w:t>39</w:t>
                  </w:r>
                  <w:r>
                    <w:rPr>
                      <w:rFonts w:hint="eastAsia"/>
                      <w:sz w:val="21"/>
                      <w:szCs w:val="21"/>
                    </w:rPr>
                    <w:t>.</w:t>
                  </w:r>
                  <w:r>
                    <w:rPr>
                      <w:sz w:val="21"/>
                      <w:szCs w:val="21"/>
                    </w:rPr>
                    <w:t>681</w:t>
                  </w:r>
                  <w:r>
                    <w:rPr>
                      <w:rFonts w:hint="eastAsia"/>
                      <w:sz w:val="21"/>
                      <w:szCs w:val="21"/>
                    </w:rPr>
                    <w:t>″</w:t>
                  </w:r>
                </w:p>
              </w:tc>
              <w:tc>
                <w:tcPr>
                  <w:tcW w:w="669" w:type="dxa"/>
                  <w:vAlign w:val="center"/>
                </w:tcPr>
                <w:p>
                  <w:pPr>
                    <w:adjustRightInd w:val="0"/>
                    <w:snapToGrid w:val="0"/>
                    <w:spacing w:line="360" w:lineRule="auto"/>
                    <w:jc w:val="center"/>
                    <w:rPr>
                      <w:sz w:val="21"/>
                      <w:szCs w:val="21"/>
                    </w:rPr>
                  </w:pPr>
                  <w:r>
                    <w:rPr>
                      <w:rFonts w:hint="eastAsia"/>
                      <w:sz w:val="21"/>
                      <w:szCs w:val="21"/>
                    </w:rPr>
                    <w:t>44°0</w:t>
                  </w:r>
                  <w:r>
                    <w:rPr>
                      <w:sz w:val="21"/>
                      <w:szCs w:val="21"/>
                    </w:rPr>
                    <w:t>7</w:t>
                  </w:r>
                  <w:r>
                    <w:rPr>
                      <w:rFonts w:hint="eastAsia"/>
                      <w:sz w:val="21"/>
                      <w:szCs w:val="21"/>
                    </w:rPr>
                    <w:t>′</w:t>
                  </w:r>
                  <w:r>
                    <w:rPr>
                      <w:sz w:val="21"/>
                      <w:szCs w:val="21"/>
                    </w:rPr>
                    <w:t>15</w:t>
                  </w:r>
                  <w:r>
                    <w:rPr>
                      <w:rFonts w:hint="eastAsia"/>
                      <w:sz w:val="21"/>
                      <w:szCs w:val="21"/>
                    </w:rPr>
                    <w:t>.</w:t>
                  </w:r>
                  <w:r>
                    <w:rPr>
                      <w:sz w:val="21"/>
                      <w:szCs w:val="21"/>
                    </w:rPr>
                    <w:t>860</w:t>
                  </w:r>
                  <w:r>
                    <w:rPr>
                      <w:rFonts w:hint="eastAsia"/>
                      <w:sz w:val="21"/>
                      <w:szCs w:val="21"/>
                    </w:rPr>
                    <w:t>″</w:t>
                  </w:r>
                </w:p>
              </w:tc>
              <w:tc>
                <w:tcPr>
                  <w:tcW w:w="684" w:type="dxa"/>
                  <w:vAlign w:val="center"/>
                </w:tcPr>
                <w:p>
                  <w:pPr>
                    <w:adjustRightInd w:val="0"/>
                    <w:snapToGrid w:val="0"/>
                    <w:spacing w:line="360" w:lineRule="auto"/>
                    <w:jc w:val="center"/>
                    <w:rPr>
                      <w:sz w:val="21"/>
                      <w:szCs w:val="21"/>
                    </w:rPr>
                  </w:pPr>
                  <w:r>
                    <w:rPr>
                      <w:sz w:val="21"/>
                      <w:szCs w:val="21"/>
                    </w:rPr>
                    <w:t>535</w:t>
                  </w:r>
                  <w:r>
                    <w:rPr>
                      <w:rFonts w:hint="eastAsia"/>
                      <w:sz w:val="21"/>
                      <w:szCs w:val="21"/>
                    </w:rPr>
                    <w:t>.</w:t>
                  </w:r>
                  <w:r>
                    <w:rPr>
                      <w:sz w:val="21"/>
                      <w:szCs w:val="21"/>
                    </w:rPr>
                    <w:t>9</w:t>
                  </w:r>
                </w:p>
              </w:tc>
              <w:tc>
                <w:tcPr>
                  <w:tcW w:w="684" w:type="dxa"/>
                  <w:vAlign w:val="center"/>
                </w:tcPr>
                <w:p>
                  <w:pPr>
                    <w:adjustRightInd w:val="0"/>
                    <w:snapToGrid w:val="0"/>
                    <w:spacing w:line="360" w:lineRule="auto"/>
                    <w:jc w:val="center"/>
                    <w:rPr>
                      <w:sz w:val="21"/>
                      <w:szCs w:val="21"/>
                    </w:rPr>
                  </w:pPr>
                  <w:r>
                    <w:rPr>
                      <w:rFonts w:hint="eastAsia"/>
                      <w:sz w:val="21"/>
                      <w:szCs w:val="21"/>
                    </w:rPr>
                    <w:t>1</w:t>
                  </w:r>
                  <w:r>
                    <w:rPr>
                      <w:sz w:val="21"/>
                      <w:szCs w:val="21"/>
                    </w:rPr>
                    <w:t>5</w:t>
                  </w:r>
                </w:p>
              </w:tc>
              <w:tc>
                <w:tcPr>
                  <w:tcW w:w="684" w:type="dxa"/>
                  <w:vAlign w:val="center"/>
                </w:tcPr>
                <w:p>
                  <w:pPr>
                    <w:adjustRightInd w:val="0"/>
                    <w:snapToGrid w:val="0"/>
                    <w:spacing w:line="360" w:lineRule="auto"/>
                    <w:jc w:val="center"/>
                    <w:rPr>
                      <w:sz w:val="21"/>
                      <w:szCs w:val="21"/>
                    </w:rPr>
                  </w:pPr>
                  <w:r>
                    <w:rPr>
                      <w:rFonts w:hint="eastAsia"/>
                      <w:kern w:val="0"/>
                      <w:sz w:val="21"/>
                      <w:szCs w:val="20"/>
                    </w:rPr>
                    <w:t>0.</w:t>
                  </w:r>
                  <w:r>
                    <w:rPr>
                      <w:kern w:val="0"/>
                      <w:sz w:val="21"/>
                      <w:szCs w:val="20"/>
                    </w:rPr>
                    <w:t>4</w:t>
                  </w:r>
                </w:p>
              </w:tc>
              <w:tc>
                <w:tcPr>
                  <w:tcW w:w="795" w:type="dxa"/>
                  <w:vAlign w:val="center"/>
                </w:tcPr>
                <w:p>
                  <w:pPr>
                    <w:adjustRightInd w:val="0"/>
                    <w:snapToGrid w:val="0"/>
                    <w:spacing w:line="360" w:lineRule="auto"/>
                    <w:jc w:val="center"/>
                    <w:rPr>
                      <w:sz w:val="21"/>
                      <w:szCs w:val="21"/>
                    </w:rPr>
                  </w:pPr>
                  <w:r>
                    <w:rPr>
                      <w:rFonts w:hint="eastAsia"/>
                      <w:sz w:val="21"/>
                      <w:szCs w:val="21"/>
                    </w:rPr>
                    <w:t>7.</w:t>
                  </w:r>
                  <w:r>
                    <w:rPr>
                      <w:sz w:val="21"/>
                      <w:szCs w:val="21"/>
                    </w:rPr>
                    <w:t>13</w:t>
                  </w:r>
                </w:p>
              </w:tc>
              <w:tc>
                <w:tcPr>
                  <w:tcW w:w="674" w:type="dxa"/>
                  <w:vAlign w:val="center"/>
                </w:tcPr>
                <w:p>
                  <w:pPr>
                    <w:adjustRightInd w:val="0"/>
                    <w:snapToGrid w:val="0"/>
                    <w:spacing w:line="360" w:lineRule="auto"/>
                    <w:jc w:val="center"/>
                    <w:rPr>
                      <w:sz w:val="21"/>
                      <w:szCs w:val="21"/>
                    </w:rPr>
                  </w:pPr>
                  <w:r>
                    <w:rPr>
                      <w:sz w:val="21"/>
                      <w:szCs w:val="21"/>
                    </w:rPr>
                    <w:t>298</w:t>
                  </w:r>
                  <w:r>
                    <w:rPr>
                      <w:rFonts w:hint="eastAsia"/>
                      <w:sz w:val="21"/>
                      <w:szCs w:val="21"/>
                    </w:rPr>
                    <w:t>.</w:t>
                  </w:r>
                  <w:r>
                    <w:rPr>
                      <w:sz w:val="21"/>
                      <w:szCs w:val="21"/>
                    </w:rPr>
                    <w:t>15</w:t>
                  </w:r>
                </w:p>
              </w:tc>
              <w:tc>
                <w:tcPr>
                  <w:tcW w:w="543" w:type="dxa"/>
                  <w:vAlign w:val="center"/>
                </w:tcPr>
                <w:p>
                  <w:pPr>
                    <w:adjustRightInd w:val="0"/>
                    <w:snapToGrid w:val="0"/>
                    <w:spacing w:line="360" w:lineRule="auto"/>
                    <w:jc w:val="center"/>
                    <w:rPr>
                      <w:sz w:val="21"/>
                      <w:szCs w:val="21"/>
                    </w:rPr>
                  </w:pPr>
                  <w:r>
                    <w:rPr>
                      <w:rFonts w:hint="eastAsia"/>
                      <w:sz w:val="21"/>
                      <w:szCs w:val="21"/>
                    </w:rPr>
                    <w:t>2</w:t>
                  </w:r>
                  <w:r>
                    <w:rPr>
                      <w:sz w:val="21"/>
                      <w:szCs w:val="21"/>
                    </w:rPr>
                    <w:t>400</w:t>
                  </w:r>
                </w:p>
              </w:tc>
              <w:tc>
                <w:tcPr>
                  <w:tcW w:w="377" w:type="dxa"/>
                  <w:vAlign w:val="center"/>
                </w:tcPr>
                <w:p>
                  <w:pPr>
                    <w:adjustRightInd w:val="0"/>
                    <w:snapToGrid w:val="0"/>
                    <w:spacing w:line="360" w:lineRule="auto"/>
                    <w:jc w:val="center"/>
                    <w:rPr>
                      <w:sz w:val="21"/>
                      <w:szCs w:val="21"/>
                    </w:rPr>
                  </w:pPr>
                  <w:r>
                    <w:rPr>
                      <w:rFonts w:hint="eastAsia"/>
                      <w:sz w:val="21"/>
                      <w:szCs w:val="21"/>
                    </w:rPr>
                    <w:t>正常</w:t>
                  </w:r>
                </w:p>
              </w:tc>
              <w:tc>
                <w:tcPr>
                  <w:tcW w:w="652" w:type="dxa"/>
                  <w:vAlign w:val="center"/>
                </w:tcPr>
                <w:p>
                  <w:pPr>
                    <w:adjustRightInd w:val="0"/>
                    <w:snapToGrid w:val="0"/>
                    <w:spacing w:line="360" w:lineRule="auto"/>
                    <w:jc w:val="center"/>
                    <w:rPr>
                      <w:sz w:val="21"/>
                      <w:szCs w:val="21"/>
                    </w:rPr>
                  </w:pPr>
                  <w:r>
                    <w:rPr>
                      <w:rFonts w:hint="eastAsia"/>
                      <w:sz w:val="21"/>
                      <w:szCs w:val="21"/>
                    </w:rPr>
                    <w:t>颗粒物</w:t>
                  </w:r>
                </w:p>
              </w:tc>
              <w:tc>
                <w:tcPr>
                  <w:tcW w:w="835" w:type="dxa"/>
                  <w:vAlign w:val="center"/>
                </w:tcPr>
                <w:p>
                  <w:pPr>
                    <w:adjustRightInd w:val="0"/>
                    <w:snapToGrid w:val="0"/>
                    <w:spacing w:line="360" w:lineRule="auto"/>
                    <w:jc w:val="center"/>
                    <w:rPr>
                      <w:kern w:val="0"/>
                      <w:sz w:val="21"/>
                      <w:szCs w:val="20"/>
                    </w:rPr>
                  </w:pPr>
                  <w:r>
                    <w:rPr>
                      <w:rFonts w:hint="eastAsia"/>
                      <w:kern w:val="0"/>
                      <w:sz w:val="21"/>
                      <w:szCs w:val="20"/>
                    </w:rPr>
                    <w:t>1.</w:t>
                  </w:r>
                  <w:r>
                    <w:rPr>
                      <w:kern w:val="0"/>
                      <w:sz w:val="21"/>
                      <w:szCs w:val="20"/>
                    </w:rPr>
                    <w:t>299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77" w:type="dxa"/>
                  <w:vMerge w:val="restart"/>
                  <w:vAlign w:val="center"/>
                </w:tcPr>
                <w:p>
                  <w:pPr>
                    <w:adjustRightInd w:val="0"/>
                    <w:snapToGrid w:val="0"/>
                    <w:spacing w:line="360" w:lineRule="auto"/>
                    <w:jc w:val="center"/>
                    <w:rPr>
                      <w:sz w:val="21"/>
                      <w:szCs w:val="21"/>
                    </w:rPr>
                  </w:pPr>
                  <w:r>
                    <w:rPr>
                      <w:rFonts w:hint="eastAsia"/>
                      <w:sz w:val="21"/>
                      <w:szCs w:val="21"/>
                    </w:rPr>
                    <w:t>3</w:t>
                  </w:r>
                </w:p>
              </w:tc>
              <w:tc>
                <w:tcPr>
                  <w:tcW w:w="701" w:type="dxa"/>
                  <w:vMerge w:val="restart"/>
                  <w:vAlign w:val="center"/>
                </w:tcPr>
                <w:p>
                  <w:pPr>
                    <w:adjustRightInd w:val="0"/>
                    <w:snapToGrid w:val="0"/>
                    <w:spacing w:line="360" w:lineRule="auto"/>
                    <w:jc w:val="center"/>
                    <w:rPr>
                      <w:bCs/>
                      <w:sz w:val="21"/>
                      <w:szCs w:val="21"/>
                    </w:rPr>
                  </w:pPr>
                  <w:r>
                    <w:rPr>
                      <w:rFonts w:hint="eastAsia"/>
                      <w:bCs/>
                      <w:sz w:val="21"/>
                      <w:szCs w:val="21"/>
                    </w:rPr>
                    <w:t>排气筒DA</w:t>
                  </w:r>
                  <w:r>
                    <w:rPr>
                      <w:bCs/>
                      <w:sz w:val="21"/>
                      <w:szCs w:val="21"/>
                    </w:rPr>
                    <w:t>005</w:t>
                  </w:r>
                </w:p>
              </w:tc>
              <w:tc>
                <w:tcPr>
                  <w:tcW w:w="669" w:type="dxa"/>
                  <w:vMerge w:val="restart"/>
                  <w:vAlign w:val="center"/>
                </w:tcPr>
                <w:p>
                  <w:pPr>
                    <w:adjustRightInd w:val="0"/>
                    <w:snapToGrid w:val="0"/>
                    <w:spacing w:line="360" w:lineRule="auto"/>
                    <w:jc w:val="center"/>
                    <w:rPr>
                      <w:sz w:val="21"/>
                      <w:szCs w:val="21"/>
                    </w:rPr>
                  </w:pPr>
                  <w:r>
                    <w:rPr>
                      <w:rFonts w:hint="eastAsia"/>
                      <w:sz w:val="21"/>
                      <w:szCs w:val="21"/>
                    </w:rPr>
                    <w:t>87°0</w:t>
                  </w:r>
                  <w:r>
                    <w:rPr>
                      <w:sz w:val="21"/>
                      <w:szCs w:val="21"/>
                    </w:rPr>
                    <w:t>2</w:t>
                  </w:r>
                  <w:r>
                    <w:rPr>
                      <w:rFonts w:hint="eastAsia"/>
                      <w:sz w:val="21"/>
                      <w:szCs w:val="21"/>
                    </w:rPr>
                    <w:t>′</w:t>
                  </w:r>
                  <w:r>
                    <w:rPr>
                      <w:sz w:val="21"/>
                      <w:szCs w:val="21"/>
                    </w:rPr>
                    <w:t>38</w:t>
                  </w:r>
                  <w:r>
                    <w:rPr>
                      <w:rFonts w:hint="eastAsia"/>
                      <w:sz w:val="21"/>
                      <w:szCs w:val="21"/>
                    </w:rPr>
                    <w:t>.</w:t>
                  </w:r>
                  <w:r>
                    <w:rPr>
                      <w:sz w:val="21"/>
                      <w:szCs w:val="21"/>
                    </w:rPr>
                    <w:t>677</w:t>
                  </w:r>
                  <w:r>
                    <w:rPr>
                      <w:rFonts w:hint="eastAsia"/>
                      <w:sz w:val="21"/>
                      <w:szCs w:val="21"/>
                    </w:rPr>
                    <w:t>″</w:t>
                  </w:r>
                </w:p>
              </w:tc>
              <w:tc>
                <w:tcPr>
                  <w:tcW w:w="669" w:type="dxa"/>
                  <w:vMerge w:val="restart"/>
                  <w:vAlign w:val="center"/>
                </w:tcPr>
                <w:p>
                  <w:pPr>
                    <w:adjustRightInd w:val="0"/>
                    <w:snapToGrid w:val="0"/>
                    <w:spacing w:line="360" w:lineRule="auto"/>
                    <w:jc w:val="center"/>
                    <w:rPr>
                      <w:sz w:val="21"/>
                      <w:szCs w:val="21"/>
                    </w:rPr>
                  </w:pPr>
                  <w:r>
                    <w:rPr>
                      <w:rFonts w:hint="eastAsia"/>
                      <w:sz w:val="21"/>
                      <w:szCs w:val="21"/>
                    </w:rPr>
                    <w:t>44°0</w:t>
                  </w:r>
                  <w:r>
                    <w:rPr>
                      <w:sz w:val="21"/>
                      <w:szCs w:val="21"/>
                    </w:rPr>
                    <w:t>7</w:t>
                  </w:r>
                  <w:r>
                    <w:rPr>
                      <w:rFonts w:hint="eastAsia"/>
                      <w:sz w:val="21"/>
                      <w:szCs w:val="21"/>
                    </w:rPr>
                    <w:t>′</w:t>
                  </w:r>
                  <w:r>
                    <w:rPr>
                      <w:sz w:val="21"/>
                      <w:szCs w:val="21"/>
                    </w:rPr>
                    <w:t>20</w:t>
                  </w:r>
                  <w:r>
                    <w:rPr>
                      <w:rFonts w:hint="eastAsia"/>
                      <w:sz w:val="21"/>
                      <w:szCs w:val="21"/>
                    </w:rPr>
                    <w:t>.</w:t>
                  </w:r>
                  <w:r>
                    <w:rPr>
                      <w:sz w:val="21"/>
                      <w:szCs w:val="21"/>
                    </w:rPr>
                    <w:t>186</w:t>
                  </w:r>
                  <w:r>
                    <w:rPr>
                      <w:rFonts w:hint="eastAsia"/>
                      <w:sz w:val="21"/>
                      <w:szCs w:val="21"/>
                    </w:rPr>
                    <w:t>″</w:t>
                  </w:r>
                </w:p>
              </w:tc>
              <w:tc>
                <w:tcPr>
                  <w:tcW w:w="684" w:type="dxa"/>
                  <w:vMerge w:val="restart"/>
                  <w:vAlign w:val="center"/>
                </w:tcPr>
                <w:p>
                  <w:pPr>
                    <w:adjustRightInd w:val="0"/>
                    <w:snapToGrid w:val="0"/>
                    <w:spacing w:line="360" w:lineRule="auto"/>
                    <w:jc w:val="center"/>
                    <w:rPr>
                      <w:sz w:val="21"/>
                      <w:szCs w:val="21"/>
                    </w:rPr>
                  </w:pPr>
                  <w:r>
                    <w:rPr>
                      <w:sz w:val="21"/>
                      <w:szCs w:val="21"/>
                    </w:rPr>
                    <w:t>534</w:t>
                  </w:r>
                  <w:r>
                    <w:rPr>
                      <w:rFonts w:hint="eastAsia"/>
                      <w:sz w:val="21"/>
                      <w:szCs w:val="21"/>
                    </w:rPr>
                    <w:t>.</w:t>
                  </w:r>
                  <w:r>
                    <w:rPr>
                      <w:sz w:val="21"/>
                      <w:szCs w:val="21"/>
                    </w:rPr>
                    <w:t>2</w:t>
                  </w:r>
                </w:p>
              </w:tc>
              <w:tc>
                <w:tcPr>
                  <w:tcW w:w="684" w:type="dxa"/>
                  <w:vMerge w:val="restart"/>
                  <w:vAlign w:val="center"/>
                </w:tcPr>
                <w:p>
                  <w:pPr>
                    <w:adjustRightInd w:val="0"/>
                    <w:snapToGrid w:val="0"/>
                    <w:spacing w:line="360" w:lineRule="auto"/>
                    <w:jc w:val="center"/>
                    <w:rPr>
                      <w:sz w:val="21"/>
                      <w:szCs w:val="21"/>
                    </w:rPr>
                  </w:pPr>
                  <w:r>
                    <w:rPr>
                      <w:rFonts w:hint="eastAsia"/>
                      <w:sz w:val="21"/>
                      <w:szCs w:val="21"/>
                    </w:rPr>
                    <w:t>1</w:t>
                  </w:r>
                  <w:r>
                    <w:rPr>
                      <w:sz w:val="21"/>
                      <w:szCs w:val="21"/>
                    </w:rPr>
                    <w:t>5</w:t>
                  </w:r>
                </w:p>
              </w:tc>
              <w:tc>
                <w:tcPr>
                  <w:tcW w:w="684" w:type="dxa"/>
                  <w:vMerge w:val="restart"/>
                  <w:vAlign w:val="center"/>
                </w:tcPr>
                <w:p>
                  <w:pPr>
                    <w:adjustRightInd w:val="0"/>
                    <w:snapToGrid w:val="0"/>
                    <w:spacing w:line="360" w:lineRule="auto"/>
                    <w:jc w:val="center"/>
                    <w:rPr>
                      <w:sz w:val="21"/>
                      <w:szCs w:val="21"/>
                    </w:rPr>
                  </w:pPr>
                  <w:r>
                    <w:rPr>
                      <w:rFonts w:hint="eastAsia"/>
                      <w:kern w:val="0"/>
                      <w:sz w:val="21"/>
                      <w:szCs w:val="20"/>
                    </w:rPr>
                    <w:t>0.</w:t>
                  </w:r>
                  <w:r>
                    <w:rPr>
                      <w:kern w:val="0"/>
                      <w:sz w:val="21"/>
                      <w:szCs w:val="20"/>
                    </w:rPr>
                    <w:t>38</w:t>
                  </w:r>
                </w:p>
              </w:tc>
              <w:tc>
                <w:tcPr>
                  <w:tcW w:w="795" w:type="dxa"/>
                  <w:vMerge w:val="restart"/>
                  <w:vAlign w:val="center"/>
                </w:tcPr>
                <w:p>
                  <w:pPr>
                    <w:adjustRightInd w:val="0"/>
                    <w:snapToGrid w:val="0"/>
                    <w:spacing w:line="360" w:lineRule="auto"/>
                    <w:jc w:val="center"/>
                    <w:rPr>
                      <w:sz w:val="21"/>
                      <w:szCs w:val="21"/>
                    </w:rPr>
                  </w:pPr>
                  <w:r>
                    <w:rPr>
                      <w:rFonts w:hint="eastAsia"/>
                      <w:sz w:val="21"/>
                      <w:szCs w:val="21"/>
                    </w:rPr>
                    <w:t>7.</w:t>
                  </w:r>
                  <w:r>
                    <w:rPr>
                      <w:sz w:val="21"/>
                      <w:szCs w:val="21"/>
                    </w:rPr>
                    <w:t>13</w:t>
                  </w:r>
                </w:p>
              </w:tc>
              <w:tc>
                <w:tcPr>
                  <w:tcW w:w="674" w:type="dxa"/>
                  <w:vMerge w:val="restart"/>
                  <w:vAlign w:val="center"/>
                </w:tcPr>
                <w:p>
                  <w:pPr>
                    <w:adjustRightInd w:val="0"/>
                    <w:snapToGrid w:val="0"/>
                    <w:spacing w:line="360" w:lineRule="auto"/>
                    <w:jc w:val="center"/>
                    <w:rPr>
                      <w:sz w:val="21"/>
                      <w:szCs w:val="21"/>
                    </w:rPr>
                  </w:pPr>
                  <w:r>
                    <w:rPr>
                      <w:sz w:val="21"/>
                      <w:szCs w:val="21"/>
                    </w:rPr>
                    <w:t>298</w:t>
                  </w:r>
                  <w:r>
                    <w:rPr>
                      <w:rFonts w:hint="eastAsia"/>
                      <w:sz w:val="21"/>
                      <w:szCs w:val="21"/>
                    </w:rPr>
                    <w:t>.</w:t>
                  </w:r>
                  <w:r>
                    <w:rPr>
                      <w:sz w:val="21"/>
                      <w:szCs w:val="21"/>
                    </w:rPr>
                    <w:t>15</w:t>
                  </w:r>
                </w:p>
              </w:tc>
              <w:tc>
                <w:tcPr>
                  <w:tcW w:w="543" w:type="dxa"/>
                  <w:vMerge w:val="restart"/>
                  <w:vAlign w:val="center"/>
                </w:tcPr>
                <w:p>
                  <w:pPr>
                    <w:adjustRightInd w:val="0"/>
                    <w:snapToGrid w:val="0"/>
                    <w:spacing w:line="360" w:lineRule="auto"/>
                    <w:jc w:val="center"/>
                    <w:rPr>
                      <w:sz w:val="21"/>
                      <w:szCs w:val="21"/>
                    </w:rPr>
                  </w:pPr>
                  <w:r>
                    <w:rPr>
                      <w:rFonts w:hint="eastAsia"/>
                      <w:sz w:val="21"/>
                      <w:szCs w:val="21"/>
                    </w:rPr>
                    <w:t>2</w:t>
                  </w:r>
                  <w:r>
                    <w:rPr>
                      <w:sz w:val="21"/>
                      <w:szCs w:val="21"/>
                    </w:rPr>
                    <w:t>400</w:t>
                  </w:r>
                </w:p>
              </w:tc>
              <w:tc>
                <w:tcPr>
                  <w:tcW w:w="377" w:type="dxa"/>
                  <w:vMerge w:val="restart"/>
                  <w:vAlign w:val="center"/>
                </w:tcPr>
                <w:p>
                  <w:pPr>
                    <w:adjustRightInd w:val="0"/>
                    <w:snapToGrid w:val="0"/>
                    <w:spacing w:line="360" w:lineRule="auto"/>
                    <w:jc w:val="center"/>
                    <w:rPr>
                      <w:sz w:val="21"/>
                      <w:szCs w:val="21"/>
                    </w:rPr>
                  </w:pPr>
                  <w:r>
                    <w:rPr>
                      <w:rFonts w:hint="eastAsia"/>
                      <w:sz w:val="21"/>
                      <w:szCs w:val="21"/>
                    </w:rPr>
                    <w:t>正常</w:t>
                  </w:r>
                </w:p>
              </w:tc>
              <w:tc>
                <w:tcPr>
                  <w:tcW w:w="652" w:type="dxa"/>
                  <w:vAlign w:val="center"/>
                </w:tcPr>
                <w:p>
                  <w:pPr>
                    <w:adjustRightInd w:val="0"/>
                    <w:snapToGrid w:val="0"/>
                    <w:spacing w:line="360" w:lineRule="auto"/>
                    <w:jc w:val="center"/>
                    <w:rPr>
                      <w:kern w:val="0"/>
                      <w:sz w:val="21"/>
                      <w:szCs w:val="20"/>
                    </w:rPr>
                  </w:pPr>
                  <w:r>
                    <w:rPr>
                      <w:rFonts w:hint="eastAsia"/>
                      <w:kern w:val="0"/>
                      <w:sz w:val="21"/>
                      <w:szCs w:val="20"/>
                    </w:rPr>
                    <w:t>VOCs</w:t>
                  </w:r>
                </w:p>
              </w:tc>
              <w:tc>
                <w:tcPr>
                  <w:tcW w:w="835" w:type="dxa"/>
                  <w:vAlign w:val="center"/>
                </w:tcPr>
                <w:p>
                  <w:pPr>
                    <w:adjustRightInd w:val="0"/>
                    <w:snapToGrid w:val="0"/>
                    <w:spacing w:line="360" w:lineRule="auto"/>
                    <w:jc w:val="center"/>
                    <w:rPr>
                      <w:kern w:val="0"/>
                      <w:sz w:val="21"/>
                      <w:szCs w:val="20"/>
                    </w:rPr>
                  </w:pPr>
                  <w:r>
                    <w:rPr>
                      <w:rFonts w:hint="eastAsia"/>
                      <w:kern w:val="0"/>
                      <w:sz w:val="21"/>
                      <w:szCs w:val="20"/>
                    </w:rPr>
                    <w:t>0.</w:t>
                  </w:r>
                  <w:r>
                    <w:rPr>
                      <w:kern w:val="0"/>
                      <w:sz w:val="21"/>
                      <w:szCs w:val="20"/>
                    </w:rPr>
                    <w:t>211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377" w:type="dxa"/>
                  <w:vMerge w:val="continue"/>
                  <w:vAlign w:val="center"/>
                </w:tcPr>
                <w:p>
                  <w:pPr>
                    <w:adjustRightInd w:val="0"/>
                    <w:snapToGrid w:val="0"/>
                    <w:spacing w:line="360" w:lineRule="auto"/>
                    <w:jc w:val="center"/>
                    <w:rPr>
                      <w:sz w:val="21"/>
                      <w:szCs w:val="21"/>
                    </w:rPr>
                  </w:pPr>
                </w:p>
              </w:tc>
              <w:tc>
                <w:tcPr>
                  <w:tcW w:w="701" w:type="dxa"/>
                  <w:vMerge w:val="continue"/>
                  <w:vAlign w:val="center"/>
                </w:tcPr>
                <w:p>
                  <w:pPr>
                    <w:adjustRightInd w:val="0"/>
                    <w:snapToGrid w:val="0"/>
                    <w:spacing w:line="360" w:lineRule="auto"/>
                    <w:jc w:val="center"/>
                    <w:rPr>
                      <w:bCs/>
                      <w:sz w:val="21"/>
                      <w:szCs w:val="21"/>
                    </w:rPr>
                  </w:pPr>
                </w:p>
              </w:tc>
              <w:tc>
                <w:tcPr>
                  <w:tcW w:w="669" w:type="dxa"/>
                  <w:vMerge w:val="continue"/>
                  <w:vAlign w:val="center"/>
                </w:tcPr>
                <w:p>
                  <w:pPr>
                    <w:adjustRightInd w:val="0"/>
                    <w:snapToGrid w:val="0"/>
                    <w:spacing w:line="360" w:lineRule="auto"/>
                    <w:jc w:val="center"/>
                    <w:rPr>
                      <w:sz w:val="21"/>
                      <w:szCs w:val="21"/>
                    </w:rPr>
                  </w:pPr>
                </w:p>
              </w:tc>
              <w:tc>
                <w:tcPr>
                  <w:tcW w:w="669"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684" w:type="dxa"/>
                  <w:vMerge w:val="continue"/>
                  <w:vAlign w:val="center"/>
                </w:tcPr>
                <w:p>
                  <w:pPr>
                    <w:adjustRightInd w:val="0"/>
                    <w:snapToGrid w:val="0"/>
                    <w:spacing w:line="360" w:lineRule="auto"/>
                    <w:jc w:val="center"/>
                    <w:rPr>
                      <w:sz w:val="21"/>
                      <w:szCs w:val="21"/>
                    </w:rPr>
                  </w:pPr>
                </w:p>
              </w:tc>
              <w:tc>
                <w:tcPr>
                  <w:tcW w:w="795" w:type="dxa"/>
                  <w:vMerge w:val="continue"/>
                  <w:vAlign w:val="center"/>
                </w:tcPr>
                <w:p>
                  <w:pPr>
                    <w:adjustRightInd w:val="0"/>
                    <w:snapToGrid w:val="0"/>
                    <w:spacing w:line="360" w:lineRule="auto"/>
                    <w:jc w:val="center"/>
                    <w:rPr>
                      <w:sz w:val="21"/>
                      <w:szCs w:val="21"/>
                    </w:rPr>
                  </w:pPr>
                </w:p>
              </w:tc>
              <w:tc>
                <w:tcPr>
                  <w:tcW w:w="674" w:type="dxa"/>
                  <w:vMerge w:val="continue"/>
                  <w:vAlign w:val="center"/>
                </w:tcPr>
                <w:p>
                  <w:pPr>
                    <w:adjustRightInd w:val="0"/>
                    <w:snapToGrid w:val="0"/>
                    <w:spacing w:line="360" w:lineRule="auto"/>
                    <w:jc w:val="center"/>
                    <w:rPr>
                      <w:sz w:val="21"/>
                      <w:szCs w:val="21"/>
                    </w:rPr>
                  </w:pPr>
                </w:p>
              </w:tc>
              <w:tc>
                <w:tcPr>
                  <w:tcW w:w="543" w:type="dxa"/>
                  <w:vMerge w:val="continue"/>
                  <w:vAlign w:val="center"/>
                </w:tcPr>
                <w:p>
                  <w:pPr>
                    <w:adjustRightInd w:val="0"/>
                    <w:snapToGrid w:val="0"/>
                    <w:spacing w:line="360" w:lineRule="auto"/>
                    <w:jc w:val="center"/>
                    <w:rPr>
                      <w:sz w:val="21"/>
                      <w:szCs w:val="21"/>
                    </w:rPr>
                  </w:pPr>
                </w:p>
              </w:tc>
              <w:tc>
                <w:tcPr>
                  <w:tcW w:w="377" w:type="dxa"/>
                  <w:vMerge w:val="continue"/>
                  <w:vAlign w:val="center"/>
                </w:tcPr>
                <w:p>
                  <w:pPr>
                    <w:adjustRightInd w:val="0"/>
                    <w:snapToGrid w:val="0"/>
                    <w:spacing w:line="360" w:lineRule="auto"/>
                    <w:jc w:val="center"/>
                    <w:rPr>
                      <w:sz w:val="21"/>
                      <w:szCs w:val="21"/>
                    </w:rPr>
                  </w:pPr>
                </w:p>
              </w:tc>
              <w:tc>
                <w:tcPr>
                  <w:tcW w:w="652" w:type="dxa"/>
                  <w:vAlign w:val="center"/>
                </w:tcPr>
                <w:p>
                  <w:pPr>
                    <w:adjustRightInd w:val="0"/>
                    <w:snapToGrid w:val="0"/>
                    <w:spacing w:line="360" w:lineRule="auto"/>
                    <w:jc w:val="center"/>
                    <w:rPr>
                      <w:kern w:val="0"/>
                      <w:sz w:val="21"/>
                      <w:szCs w:val="20"/>
                    </w:rPr>
                  </w:pPr>
                  <w:r>
                    <w:rPr>
                      <w:rFonts w:hint="eastAsia"/>
                      <w:kern w:val="0"/>
                      <w:sz w:val="21"/>
                      <w:szCs w:val="20"/>
                    </w:rPr>
                    <w:t>甲醛</w:t>
                  </w:r>
                </w:p>
              </w:tc>
              <w:tc>
                <w:tcPr>
                  <w:tcW w:w="835" w:type="dxa"/>
                  <w:vAlign w:val="center"/>
                </w:tcPr>
                <w:p>
                  <w:pPr>
                    <w:adjustRightInd w:val="0"/>
                    <w:snapToGrid w:val="0"/>
                    <w:spacing w:line="360" w:lineRule="auto"/>
                    <w:jc w:val="center"/>
                    <w:rPr>
                      <w:kern w:val="0"/>
                      <w:sz w:val="21"/>
                      <w:szCs w:val="20"/>
                    </w:rPr>
                  </w:pPr>
                  <w:r>
                    <w:rPr>
                      <w:rFonts w:hint="eastAsia"/>
                      <w:kern w:val="0"/>
                      <w:sz w:val="21"/>
                      <w:szCs w:val="20"/>
                    </w:rPr>
                    <w:t>0.</w:t>
                  </w:r>
                  <w:r>
                    <w:rPr>
                      <w:kern w:val="0"/>
                      <w:sz w:val="21"/>
                      <w:szCs w:val="20"/>
                    </w:rPr>
                    <w:t>00197</w:t>
                  </w:r>
                </w:p>
              </w:tc>
            </w:tr>
          </w:tbl>
          <w:p>
            <w:pPr>
              <w:pStyle w:val="100"/>
              <w:spacing w:before="120" w:beforeLines="50"/>
            </w:pPr>
            <w:r>
              <w:t>表</w:t>
            </w:r>
            <w:r>
              <w:rPr>
                <w:rFonts w:hint="eastAsia"/>
              </w:rPr>
              <w:t>4-</w:t>
            </w:r>
            <w:r>
              <w:t>7</w:t>
            </w:r>
            <w:r>
              <w:rPr>
                <w:rFonts w:hint="eastAsia"/>
              </w:rPr>
              <w:t xml:space="preserve">  无组织废气污染源排放参数一览表</w:t>
            </w:r>
          </w:p>
          <w:tbl>
            <w:tblPr>
              <w:tblStyle w:val="50"/>
              <w:tblW w:w="808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9"/>
              <w:gridCol w:w="831"/>
              <w:gridCol w:w="693"/>
              <w:gridCol w:w="694"/>
              <w:gridCol w:w="693"/>
              <w:gridCol w:w="692"/>
              <w:gridCol w:w="554"/>
              <w:gridCol w:w="586"/>
              <w:gridCol w:w="787"/>
              <w:gridCol w:w="496"/>
              <w:gridCol w:w="496"/>
              <w:gridCol w:w="472"/>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329" w:type="dxa"/>
                  <w:vMerge w:val="restart"/>
                  <w:vAlign w:val="center"/>
                </w:tcPr>
                <w:p>
                  <w:pPr>
                    <w:pStyle w:val="215"/>
                    <w:rPr>
                      <w:b/>
                      <w:bCs w:val="0"/>
                    </w:rPr>
                  </w:pPr>
                  <w:r>
                    <w:rPr>
                      <w:rFonts w:hint="eastAsia"/>
                      <w:b/>
                      <w:bCs w:val="0"/>
                    </w:rPr>
                    <w:t>编号</w:t>
                  </w:r>
                </w:p>
              </w:tc>
              <w:tc>
                <w:tcPr>
                  <w:tcW w:w="831" w:type="dxa"/>
                  <w:vMerge w:val="restart"/>
                  <w:vAlign w:val="center"/>
                </w:tcPr>
                <w:p>
                  <w:pPr>
                    <w:pStyle w:val="215"/>
                    <w:rPr>
                      <w:b/>
                      <w:bCs w:val="0"/>
                    </w:rPr>
                  </w:pPr>
                  <w:r>
                    <w:rPr>
                      <w:rFonts w:hint="eastAsia"/>
                      <w:b/>
                      <w:bCs w:val="0"/>
                    </w:rPr>
                    <w:t>名称</w:t>
                  </w:r>
                </w:p>
              </w:tc>
              <w:tc>
                <w:tcPr>
                  <w:tcW w:w="1387" w:type="dxa"/>
                  <w:gridSpan w:val="2"/>
                  <w:vAlign w:val="center"/>
                </w:tcPr>
                <w:p>
                  <w:pPr>
                    <w:pStyle w:val="215"/>
                    <w:rPr>
                      <w:b/>
                      <w:bCs w:val="0"/>
                    </w:rPr>
                  </w:pPr>
                  <w:r>
                    <w:rPr>
                      <w:rFonts w:hint="eastAsia"/>
                      <w:b/>
                      <w:bCs w:val="0"/>
                    </w:rPr>
                    <w:t>面源起点坐标/°</w:t>
                  </w:r>
                </w:p>
              </w:tc>
              <w:tc>
                <w:tcPr>
                  <w:tcW w:w="693" w:type="dxa"/>
                  <w:vMerge w:val="restart"/>
                  <w:vAlign w:val="center"/>
                </w:tcPr>
                <w:p>
                  <w:pPr>
                    <w:pStyle w:val="215"/>
                    <w:rPr>
                      <w:b/>
                      <w:bCs w:val="0"/>
                    </w:rPr>
                  </w:pPr>
                  <w:r>
                    <w:rPr>
                      <w:rFonts w:hint="eastAsia"/>
                      <w:b/>
                      <w:bCs w:val="0"/>
                    </w:rPr>
                    <w:t>面源海拔高度（m）</w:t>
                  </w:r>
                </w:p>
              </w:tc>
              <w:tc>
                <w:tcPr>
                  <w:tcW w:w="692" w:type="dxa"/>
                  <w:vMerge w:val="restart"/>
                  <w:vAlign w:val="center"/>
                </w:tcPr>
                <w:p>
                  <w:pPr>
                    <w:pStyle w:val="215"/>
                    <w:rPr>
                      <w:b/>
                      <w:bCs w:val="0"/>
                    </w:rPr>
                  </w:pPr>
                  <w:r>
                    <w:rPr>
                      <w:rFonts w:hint="eastAsia"/>
                      <w:b/>
                      <w:bCs w:val="0"/>
                    </w:rPr>
                    <w:t>面源长度（m）</w:t>
                  </w:r>
                </w:p>
              </w:tc>
              <w:tc>
                <w:tcPr>
                  <w:tcW w:w="554" w:type="dxa"/>
                  <w:vMerge w:val="restart"/>
                  <w:vAlign w:val="center"/>
                </w:tcPr>
                <w:p>
                  <w:pPr>
                    <w:pStyle w:val="215"/>
                    <w:rPr>
                      <w:b/>
                      <w:bCs w:val="0"/>
                    </w:rPr>
                  </w:pPr>
                  <w:r>
                    <w:rPr>
                      <w:rFonts w:hint="eastAsia"/>
                      <w:b/>
                      <w:bCs w:val="0"/>
                    </w:rPr>
                    <w:t>面源宽度（m）</w:t>
                  </w:r>
                </w:p>
              </w:tc>
              <w:tc>
                <w:tcPr>
                  <w:tcW w:w="586" w:type="dxa"/>
                  <w:vMerge w:val="restart"/>
                  <w:vAlign w:val="center"/>
                </w:tcPr>
                <w:p>
                  <w:pPr>
                    <w:pStyle w:val="215"/>
                    <w:rPr>
                      <w:b/>
                      <w:bCs w:val="0"/>
                    </w:rPr>
                  </w:pPr>
                  <w:r>
                    <w:rPr>
                      <w:rFonts w:hint="eastAsia"/>
                      <w:b/>
                      <w:bCs w:val="0"/>
                    </w:rPr>
                    <w:t>与正北向夹角/°</w:t>
                  </w:r>
                </w:p>
              </w:tc>
              <w:tc>
                <w:tcPr>
                  <w:tcW w:w="787" w:type="dxa"/>
                  <w:vMerge w:val="restart"/>
                  <w:vAlign w:val="center"/>
                </w:tcPr>
                <w:p>
                  <w:pPr>
                    <w:pStyle w:val="215"/>
                    <w:rPr>
                      <w:b/>
                      <w:bCs w:val="0"/>
                    </w:rPr>
                  </w:pPr>
                  <w:r>
                    <w:rPr>
                      <w:rFonts w:hint="eastAsia"/>
                      <w:b/>
                      <w:bCs w:val="0"/>
                    </w:rPr>
                    <w:t>面源有效排放高度（m）</w:t>
                  </w:r>
                </w:p>
              </w:tc>
              <w:tc>
                <w:tcPr>
                  <w:tcW w:w="496" w:type="dxa"/>
                  <w:vMerge w:val="restart"/>
                  <w:vAlign w:val="center"/>
                </w:tcPr>
                <w:p>
                  <w:pPr>
                    <w:pStyle w:val="215"/>
                    <w:rPr>
                      <w:b/>
                      <w:bCs w:val="0"/>
                    </w:rPr>
                  </w:pPr>
                  <w:r>
                    <w:rPr>
                      <w:rFonts w:hint="eastAsia"/>
                      <w:b/>
                      <w:bCs w:val="0"/>
                    </w:rPr>
                    <w:t>年排放小时数/h</w:t>
                  </w:r>
                </w:p>
              </w:tc>
              <w:tc>
                <w:tcPr>
                  <w:tcW w:w="496" w:type="dxa"/>
                  <w:vMerge w:val="restart"/>
                  <w:vAlign w:val="center"/>
                </w:tcPr>
                <w:p>
                  <w:pPr>
                    <w:pStyle w:val="215"/>
                    <w:rPr>
                      <w:b/>
                      <w:bCs w:val="0"/>
                    </w:rPr>
                  </w:pPr>
                  <w:r>
                    <w:rPr>
                      <w:rFonts w:hint="eastAsia"/>
                      <w:b/>
                      <w:bCs w:val="0"/>
                    </w:rPr>
                    <w:t>排放工况</w:t>
                  </w:r>
                </w:p>
              </w:tc>
              <w:tc>
                <w:tcPr>
                  <w:tcW w:w="472" w:type="dxa"/>
                  <w:vMerge w:val="restart"/>
                  <w:vAlign w:val="center"/>
                </w:tcPr>
                <w:p>
                  <w:pPr>
                    <w:pStyle w:val="215"/>
                    <w:rPr>
                      <w:b/>
                      <w:bCs w:val="0"/>
                    </w:rPr>
                  </w:pPr>
                  <w:r>
                    <w:rPr>
                      <w:rFonts w:hint="eastAsia"/>
                      <w:b/>
                      <w:bCs w:val="0"/>
                    </w:rPr>
                    <w:t>污染物名称</w:t>
                  </w:r>
                </w:p>
              </w:tc>
              <w:tc>
                <w:tcPr>
                  <w:tcW w:w="765" w:type="dxa"/>
                  <w:vMerge w:val="restart"/>
                  <w:vAlign w:val="center"/>
                </w:tcPr>
                <w:p>
                  <w:pPr>
                    <w:pStyle w:val="215"/>
                    <w:rPr>
                      <w:b/>
                      <w:bCs w:val="0"/>
                    </w:rPr>
                  </w:pPr>
                  <w:r>
                    <w:rPr>
                      <w:rFonts w:hint="eastAsia"/>
                      <w:b/>
                      <w:bCs w:val="0"/>
                    </w:rPr>
                    <w:t>排放源强（kg/h）</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329" w:type="dxa"/>
                  <w:vMerge w:val="continue"/>
                  <w:vAlign w:val="center"/>
                </w:tcPr>
                <w:p>
                  <w:pPr>
                    <w:pStyle w:val="215"/>
                  </w:pPr>
                </w:p>
              </w:tc>
              <w:tc>
                <w:tcPr>
                  <w:tcW w:w="831" w:type="dxa"/>
                  <w:vMerge w:val="continue"/>
                  <w:vAlign w:val="center"/>
                </w:tcPr>
                <w:p>
                  <w:pPr>
                    <w:pStyle w:val="215"/>
                  </w:pPr>
                </w:p>
              </w:tc>
              <w:tc>
                <w:tcPr>
                  <w:tcW w:w="693" w:type="dxa"/>
                  <w:vAlign w:val="center"/>
                </w:tcPr>
                <w:p>
                  <w:pPr>
                    <w:pStyle w:val="215"/>
                  </w:pPr>
                  <w:r>
                    <w:rPr>
                      <w:rFonts w:hint="eastAsia"/>
                    </w:rPr>
                    <w:t>X</w:t>
                  </w:r>
                </w:p>
              </w:tc>
              <w:tc>
                <w:tcPr>
                  <w:tcW w:w="694" w:type="dxa"/>
                  <w:vAlign w:val="center"/>
                </w:tcPr>
                <w:p>
                  <w:pPr>
                    <w:pStyle w:val="215"/>
                  </w:pPr>
                  <w:r>
                    <w:rPr>
                      <w:rFonts w:hint="eastAsia"/>
                    </w:rPr>
                    <w:t>Y</w:t>
                  </w:r>
                </w:p>
              </w:tc>
              <w:tc>
                <w:tcPr>
                  <w:tcW w:w="693" w:type="dxa"/>
                  <w:vMerge w:val="continue"/>
                  <w:vAlign w:val="center"/>
                </w:tcPr>
                <w:p>
                  <w:pPr>
                    <w:pStyle w:val="215"/>
                  </w:pPr>
                </w:p>
              </w:tc>
              <w:tc>
                <w:tcPr>
                  <w:tcW w:w="692" w:type="dxa"/>
                  <w:vMerge w:val="continue"/>
                  <w:vAlign w:val="center"/>
                </w:tcPr>
                <w:p>
                  <w:pPr>
                    <w:pStyle w:val="215"/>
                  </w:pPr>
                </w:p>
              </w:tc>
              <w:tc>
                <w:tcPr>
                  <w:tcW w:w="554" w:type="dxa"/>
                  <w:vMerge w:val="continue"/>
                  <w:vAlign w:val="center"/>
                </w:tcPr>
                <w:p>
                  <w:pPr>
                    <w:pStyle w:val="215"/>
                  </w:pPr>
                </w:p>
              </w:tc>
              <w:tc>
                <w:tcPr>
                  <w:tcW w:w="586" w:type="dxa"/>
                  <w:vMerge w:val="continue"/>
                  <w:vAlign w:val="center"/>
                </w:tcPr>
                <w:p>
                  <w:pPr>
                    <w:pStyle w:val="215"/>
                  </w:pPr>
                </w:p>
              </w:tc>
              <w:tc>
                <w:tcPr>
                  <w:tcW w:w="787" w:type="dxa"/>
                  <w:vMerge w:val="continue"/>
                  <w:vAlign w:val="center"/>
                </w:tcPr>
                <w:p>
                  <w:pPr>
                    <w:pStyle w:val="215"/>
                  </w:pPr>
                </w:p>
              </w:tc>
              <w:tc>
                <w:tcPr>
                  <w:tcW w:w="496" w:type="dxa"/>
                  <w:vMerge w:val="continue"/>
                  <w:vAlign w:val="center"/>
                </w:tcPr>
                <w:p>
                  <w:pPr>
                    <w:pStyle w:val="215"/>
                  </w:pPr>
                </w:p>
              </w:tc>
              <w:tc>
                <w:tcPr>
                  <w:tcW w:w="496" w:type="dxa"/>
                  <w:vMerge w:val="continue"/>
                  <w:vAlign w:val="center"/>
                </w:tcPr>
                <w:p>
                  <w:pPr>
                    <w:pStyle w:val="215"/>
                  </w:pPr>
                </w:p>
              </w:tc>
              <w:tc>
                <w:tcPr>
                  <w:tcW w:w="472" w:type="dxa"/>
                  <w:vMerge w:val="continue"/>
                  <w:vAlign w:val="center"/>
                </w:tcPr>
                <w:p>
                  <w:pPr>
                    <w:pStyle w:val="215"/>
                  </w:pPr>
                </w:p>
              </w:tc>
              <w:tc>
                <w:tcPr>
                  <w:tcW w:w="76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329" w:type="dxa"/>
                  <w:vMerge w:val="restart"/>
                  <w:vAlign w:val="center"/>
                </w:tcPr>
                <w:p>
                  <w:pPr>
                    <w:pStyle w:val="215"/>
                  </w:pPr>
                  <w:r>
                    <w:rPr>
                      <w:rFonts w:hint="eastAsia"/>
                    </w:rPr>
                    <w:t>1</w:t>
                  </w:r>
                </w:p>
              </w:tc>
              <w:tc>
                <w:tcPr>
                  <w:tcW w:w="831" w:type="dxa"/>
                  <w:vMerge w:val="restart"/>
                  <w:vAlign w:val="center"/>
                </w:tcPr>
                <w:p>
                  <w:pPr>
                    <w:pStyle w:val="215"/>
                  </w:pPr>
                  <w:r>
                    <w:rPr>
                      <w:rFonts w:hint="eastAsia"/>
                    </w:rPr>
                    <w:t>车间</w:t>
                  </w:r>
                </w:p>
              </w:tc>
              <w:tc>
                <w:tcPr>
                  <w:tcW w:w="693" w:type="dxa"/>
                  <w:vMerge w:val="restart"/>
                  <w:vAlign w:val="center"/>
                </w:tcPr>
                <w:p>
                  <w:pPr>
                    <w:pStyle w:val="215"/>
                  </w:pPr>
                  <w:r>
                    <w:rPr>
                      <w:rFonts w:hint="eastAsia"/>
                    </w:rPr>
                    <w:t>87°0</w:t>
                  </w:r>
                  <w:r>
                    <w:t>3</w:t>
                  </w:r>
                  <w:r>
                    <w:rPr>
                      <w:rFonts w:hint="eastAsia"/>
                    </w:rPr>
                    <w:t>′</w:t>
                  </w:r>
                  <w:r>
                    <w:t>39</w:t>
                  </w:r>
                  <w:r>
                    <w:rPr>
                      <w:rFonts w:hint="eastAsia"/>
                    </w:rPr>
                    <w:t>，2</w:t>
                  </w:r>
                  <w:r>
                    <w:t>18</w:t>
                  </w:r>
                  <w:r>
                    <w:rPr>
                      <w:rFonts w:hint="eastAsia"/>
                    </w:rPr>
                    <w:t>″</w:t>
                  </w:r>
                </w:p>
              </w:tc>
              <w:tc>
                <w:tcPr>
                  <w:tcW w:w="694" w:type="dxa"/>
                  <w:vMerge w:val="restart"/>
                  <w:vAlign w:val="center"/>
                </w:tcPr>
                <w:p>
                  <w:pPr>
                    <w:pStyle w:val="215"/>
                  </w:pPr>
                  <w:r>
                    <w:rPr>
                      <w:rFonts w:hint="eastAsia"/>
                    </w:rPr>
                    <w:t>44°0</w:t>
                  </w:r>
                  <w:r>
                    <w:t>7</w:t>
                  </w:r>
                  <w:r>
                    <w:rPr>
                      <w:rFonts w:hint="eastAsia"/>
                    </w:rPr>
                    <w:t>′</w:t>
                  </w:r>
                  <w:r>
                    <w:t>22</w:t>
                  </w:r>
                  <w:r>
                    <w:rPr>
                      <w:rFonts w:hint="eastAsia"/>
                    </w:rPr>
                    <w:t>.</w:t>
                  </w:r>
                  <w:r>
                    <w:t>272</w:t>
                  </w:r>
                  <w:r>
                    <w:rPr>
                      <w:rFonts w:hint="eastAsia"/>
                    </w:rPr>
                    <w:t>″</w:t>
                  </w:r>
                </w:p>
              </w:tc>
              <w:tc>
                <w:tcPr>
                  <w:tcW w:w="693" w:type="dxa"/>
                  <w:vMerge w:val="restart"/>
                  <w:vAlign w:val="center"/>
                </w:tcPr>
                <w:p>
                  <w:pPr>
                    <w:pStyle w:val="215"/>
                  </w:pPr>
                  <w:r>
                    <w:t>553</w:t>
                  </w:r>
                  <w:r>
                    <w:rPr>
                      <w:rFonts w:hint="eastAsia"/>
                    </w:rPr>
                    <w:t>.</w:t>
                  </w:r>
                  <w:r>
                    <w:t>1</w:t>
                  </w:r>
                </w:p>
              </w:tc>
              <w:tc>
                <w:tcPr>
                  <w:tcW w:w="692" w:type="dxa"/>
                  <w:vMerge w:val="restart"/>
                  <w:vAlign w:val="center"/>
                </w:tcPr>
                <w:p>
                  <w:pPr>
                    <w:pStyle w:val="215"/>
                  </w:pPr>
                  <w:r>
                    <w:t>230</w:t>
                  </w:r>
                </w:p>
              </w:tc>
              <w:tc>
                <w:tcPr>
                  <w:tcW w:w="554" w:type="dxa"/>
                  <w:vMerge w:val="restart"/>
                  <w:vAlign w:val="center"/>
                </w:tcPr>
                <w:p>
                  <w:pPr>
                    <w:pStyle w:val="215"/>
                  </w:pPr>
                  <w:r>
                    <w:t>200</w:t>
                  </w:r>
                </w:p>
              </w:tc>
              <w:tc>
                <w:tcPr>
                  <w:tcW w:w="586" w:type="dxa"/>
                  <w:vMerge w:val="restart"/>
                  <w:vAlign w:val="center"/>
                </w:tcPr>
                <w:p>
                  <w:pPr>
                    <w:pStyle w:val="215"/>
                  </w:pPr>
                  <w:r>
                    <w:rPr>
                      <w:rFonts w:hint="eastAsia"/>
                    </w:rPr>
                    <w:t>0</w:t>
                  </w:r>
                </w:p>
              </w:tc>
              <w:tc>
                <w:tcPr>
                  <w:tcW w:w="787" w:type="dxa"/>
                  <w:vMerge w:val="restart"/>
                  <w:vAlign w:val="center"/>
                </w:tcPr>
                <w:p>
                  <w:pPr>
                    <w:pStyle w:val="215"/>
                  </w:pPr>
                  <w:r>
                    <w:t>8</w:t>
                  </w:r>
                </w:p>
              </w:tc>
              <w:tc>
                <w:tcPr>
                  <w:tcW w:w="496" w:type="dxa"/>
                  <w:vMerge w:val="restart"/>
                  <w:vAlign w:val="center"/>
                </w:tcPr>
                <w:p>
                  <w:pPr>
                    <w:pStyle w:val="215"/>
                  </w:pPr>
                  <w:r>
                    <w:t>2400</w:t>
                  </w:r>
                </w:p>
              </w:tc>
              <w:tc>
                <w:tcPr>
                  <w:tcW w:w="496" w:type="dxa"/>
                  <w:vMerge w:val="restart"/>
                  <w:vAlign w:val="center"/>
                </w:tcPr>
                <w:p>
                  <w:pPr>
                    <w:pStyle w:val="215"/>
                  </w:pPr>
                  <w:r>
                    <w:rPr>
                      <w:rFonts w:hint="eastAsia"/>
                    </w:rPr>
                    <w:t>正常</w:t>
                  </w:r>
                </w:p>
              </w:tc>
              <w:tc>
                <w:tcPr>
                  <w:tcW w:w="472" w:type="dxa"/>
                  <w:vAlign w:val="center"/>
                </w:tcPr>
                <w:p>
                  <w:pPr>
                    <w:pStyle w:val="215"/>
                  </w:pPr>
                  <w:r>
                    <w:rPr>
                      <w:rFonts w:hint="eastAsia"/>
                    </w:rPr>
                    <w:t>颗粒物</w:t>
                  </w:r>
                </w:p>
              </w:tc>
              <w:tc>
                <w:tcPr>
                  <w:tcW w:w="765" w:type="dxa"/>
                  <w:vAlign w:val="center"/>
                </w:tcPr>
                <w:p>
                  <w:pPr>
                    <w:pStyle w:val="215"/>
                  </w:pPr>
                  <w:r>
                    <w:rPr>
                      <w:rFonts w:hint="eastAsia"/>
                    </w:rPr>
                    <w:t>0.</w:t>
                  </w:r>
                  <w:r>
                    <w:t>361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29" w:type="dxa"/>
                  <w:vMerge w:val="continue"/>
                  <w:vAlign w:val="center"/>
                </w:tcPr>
                <w:p>
                  <w:pPr>
                    <w:pStyle w:val="215"/>
                  </w:pPr>
                </w:p>
              </w:tc>
              <w:tc>
                <w:tcPr>
                  <w:tcW w:w="831" w:type="dxa"/>
                  <w:vMerge w:val="continue"/>
                  <w:vAlign w:val="center"/>
                </w:tcPr>
                <w:p>
                  <w:pPr>
                    <w:pStyle w:val="215"/>
                  </w:pPr>
                </w:p>
              </w:tc>
              <w:tc>
                <w:tcPr>
                  <w:tcW w:w="693" w:type="dxa"/>
                  <w:vMerge w:val="continue"/>
                  <w:vAlign w:val="center"/>
                </w:tcPr>
                <w:p>
                  <w:pPr>
                    <w:pStyle w:val="215"/>
                  </w:pPr>
                </w:p>
              </w:tc>
              <w:tc>
                <w:tcPr>
                  <w:tcW w:w="694" w:type="dxa"/>
                  <w:vMerge w:val="continue"/>
                  <w:vAlign w:val="center"/>
                </w:tcPr>
                <w:p>
                  <w:pPr>
                    <w:pStyle w:val="215"/>
                  </w:pPr>
                </w:p>
              </w:tc>
              <w:tc>
                <w:tcPr>
                  <w:tcW w:w="693" w:type="dxa"/>
                  <w:vMerge w:val="continue"/>
                  <w:vAlign w:val="center"/>
                </w:tcPr>
                <w:p>
                  <w:pPr>
                    <w:pStyle w:val="215"/>
                  </w:pPr>
                </w:p>
              </w:tc>
              <w:tc>
                <w:tcPr>
                  <w:tcW w:w="692" w:type="dxa"/>
                  <w:vMerge w:val="continue"/>
                  <w:vAlign w:val="center"/>
                </w:tcPr>
                <w:p>
                  <w:pPr>
                    <w:pStyle w:val="215"/>
                  </w:pPr>
                </w:p>
              </w:tc>
              <w:tc>
                <w:tcPr>
                  <w:tcW w:w="554" w:type="dxa"/>
                  <w:vMerge w:val="continue"/>
                  <w:vAlign w:val="center"/>
                </w:tcPr>
                <w:p>
                  <w:pPr>
                    <w:pStyle w:val="215"/>
                  </w:pPr>
                </w:p>
              </w:tc>
              <w:tc>
                <w:tcPr>
                  <w:tcW w:w="586" w:type="dxa"/>
                  <w:vMerge w:val="continue"/>
                  <w:vAlign w:val="center"/>
                </w:tcPr>
                <w:p>
                  <w:pPr>
                    <w:pStyle w:val="215"/>
                  </w:pPr>
                </w:p>
              </w:tc>
              <w:tc>
                <w:tcPr>
                  <w:tcW w:w="787" w:type="dxa"/>
                  <w:vMerge w:val="continue"/>
                  <w:vAlign w:val="center"/>
                </w:tcPr>
                <w:p>
                  <w:pPr>
                    <w:pStyle w:val="215"/>
                  </w:pPr>
                </w:p>
              </w:tc>
              <w:tc>
                <w:tcPr>
                  <w:tcW w:w="496" w:type="dxa"/>
                  <w:vMerge w:val="continue"/>
                  <w:vAlign w:val="center"/>
                </w:tcPr>
                <w:p>
                  <w:pPr>
                    <w:pStyle w:val="215"/>
                  </w:pPr>
                </w:p>
              </w:tc>
              <w:tc>
                <w:tcPr>
                  <w:tcW w:w="496" w:type="dxa"/>
                  <w:vMerge w:val="continue"/>
                  <w:vAlign w:val="center"/>
                </w:tcPr>
                <w:p>
                  <w:pPr>
                    <w:pStyle w:val="215"/>
                  </w:pPr>
                </w:p>
              </w:tc>
              <w:tc>
                <w:tcPr>
                  <w:tcW w:w="472" w:type="dxa"/>
                  <w:vAlign w:val="center"/>
                </w:tcPr>
                <w:p>
                  <w:pPr>
                    <w:pStyle w:val="215"/>
                  </w:pPr>
                  <w:r>
                    <w:rPr>
                      <w:rFonts w:hint="eastAsia"/>
                    </w:rPr>
                    <w:t>VOCs</w:t>
                  </w:r>
                </w:p>
              </w:tc>
              <w:tc>
                <w:tcPr>
                  <w:tcW w:w="765" w:type="dxa"/>
                  <w:vAlign w:val="center"/>
                </w:tcPr>
                <w:p>
                  <w:pPr>
                    <w:pStyle w:val="215"/>
                  </w:pPr>
                  <w:r>
                    <w:rPr>
                      <w:rFonts w:hint="eastAsia"/>
                    </w:rPr>
                    <w:t>0.</w:t>
                  </w:r>
                  <w:r>
                    <w:t>0625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29" w:type="dxa"/>
                  <w:vMerge w:val="continue"/>
                  <w:vAlign w:val="center"/>
                </w:tcPr>
                <w:p>
                  <w:pPr>
                    <w:pStyle w:val="215"/>
                  </w:pPr>
                </w:p>
              </w:tc>
              <w:tc>
                <w:tcPr>
                  <w:tcW w:w="831" w:type="dxa"/>
                  <w:vMerge w:val="continue"/>
                  <w:vAlign w:val="center"/>
                </w:tcPr>
                <w:p>
                  <w:pPr>
                    <w:pStyle w:val="215"/>
                  </w:pPr>
                </w:p>
              </w:tc>
              <w:tc>
                <w:tcPr>
                  <w:tcW w:w="693" w:type="dxa"/>
                  <w:vMerge w:val="continue"/>
                  <w:vAlign w:val="center"/>
                </w:tcPr>
                <w:p>
                  <w:pPr>
                    <w:pStyle w:val="215"/>
                  </w:pPr>
                </w:p>
              </w:tc>
              <w:tc>
                <w:tcPr>
                  <w:tcW w:w="694" w:type="dxa"/>
                  <w:vMerge w:val="continue"/>
                  <w:vAlign w:val="center"/>
                </w:tcPr>
                <w:p>
                  <w:pPr>
                    <w:pStyle w:val="215"/>
                  </w:pPr>
                </w:p>
              </w:tc>
              <w:tc>
                <w:tcPr>
                  <w:tcW w:w="693" w:type="dxa"/>
                  <w:vMerge w:val="continue"/>
                  <w:vAlign w:val="center"/>
                </w:tcPr>
                <w:p>
                  <w:pPr>
                    <w:pStyle w:val="215"/>
                  </w:pPr>
                </w:p>
              </w:tc>
              <w:tc>
                <w:tcPr>
                  <w:tcW w:w="692" w:type="dxa"/>
                  <w:vMerge w:val="continue"/>
                  <w:vAlign w:val="center"/>
                </w:tcPr>
                <w:p>
                  <w:pPr>
                    <w:pStyle w:val="215"/>
                  </w:pPr>
                </w:p>
              </w:tc>
              <w:tc>
                <w:tcPr>
                  <w:tcW w:w="554" w:type="dxa"/>
                  <w:vMerge w:val="continue"/>
                  <w:vAlign w:val="center"/>
                </w:tcPr>
                <w:p>
                  <w:pPr>
                    <w:pStyle w:val="215"/>
                  </w:pPr>
                </w:p>
              </w:tc>
              <w:tc>
                <w:tcPr>
                  <w:tcW w:w="586" w:type="dxa"/>
                  <w:vMerge w:val="continue"/>
                  <w:vAlign w:val="center"/>
                </w:tcPr>
                <w:p>
                  <w:pPr>
                    <w:pStyle w:val="215"/>
                  </w:pPr>
                </w:p>
              </w:tc>
              <w:tc>
                <w:tcPr>
                  <w:tcW w:w="787" w:type="dxa"/>
                  <w:vMerge w:val="continue"/>
                  <w:vAlign w:val="center"/>
                </w:tcPr>
                <w:p>
                  <w:pPr>
                    <w:pStyle w:val="215"/>
                  </w:pPr>
                </w:p>
              </w:tc>
              <w:tc>
                <w:tcPr>
                  <w:tcW w:w="496" w:type="dxa"/>
                  <w:vMerge w:val="continue"/>
                  <w:vAlign w:val="center"/>
                </w:tcPr>
                <w:p>
                  <w:pPr>
                    <w:pStyle w:val="215"/>
                  </w:pPr>
                </w:p>
              </w:tc>
              <w:tc>
                <w:tcPr>
                  <w:tcW w:w="496" w:type="dxa"/>
                  <w:vMerge w:val="continue"/>
                  <w:vAlign w:val="center"/>
                </w:tcPr>
                <w:p>
                  <w:pPr>
                    <w:pStyle w:val="215"/>
                  </w:pPr>
                </w:p>
              </w:tc>
              <w:tc>
                <w:tcPr>
                  <w:tcW w:w="472" w:type="dxa"/>
                  <w:vAlign w:val="center"/>
                </w:tcPr>
                <w:p>
                  <w:pPr>
                    <w:pStyle w:val="215"/>
                  </w:pPr>
                  <w:r>
                    <w:rPr>
                      <w:rFonts w:hint="eastAsia"/>
                    </w:rPr>
                    <w:t>甲醛</w:t>
                  </w:r>
                </w:p>
              </w:tc>
              <w:tc>
                <w:tcPr>
                  <w:tcW w:w="765" w:type="dxa"/>
                  <w:vAlign w:val="center"/>
                </w:tcPr>
                <w:p>
                  <w:pPr>
                    <w:pStyle w:val="215"/>
                  </w:pPr>
                  <w:r>
                    <w:rPr>
                      <w:rFonts w:hint="eastAsia"/>
                    </w:rPr>
                    <w:t>0.</w:t>
                  </w:r>
                  <w:r>
                    <w:t>00146</w:t>
                  </w:r>
                </w:p>
              </w:tc>
            </w:tr>
          </w:tbl>
          <w:p>
            <w:pPr>
              <w:adjustRightInd w:val="0"/>
              <w:snapToGrid w:val="0"/>
              <w:spacing w:before="120" w:beforeLines="50" w:line="360" w:lineRule="auto"/>
              <w:ind w:firstLine="482" w:firstLineChars="200"/>
              <w:jc w:val="left"/>
              <w:rPr>
                <w:b/>
                <w:bCs/>
                <w:lang w:val="en-GB"/>
              </w:rPr>
            </w:pPr>
            <w:r>
              <w:rPr>
                <w:rFonts w:hint="eastAsia"/>
                <w:b/>
                <w:bCs/>
                <w:lang w:val="en-GB"/>
              </w:rPr>
              <w:t>5、防治措施可行性及达标分析</w:t>
            </w:r>
          </w:p>
          <w:p>
            <w:pPr>
              <w:adjustRightInd w:val="0"/>
              <w:snapToGrid w:val="0"/>
              <w:spacing w:line="360" w:lineRule="auto"/>
              <w:ind w:firstLine="482" w:firstLineChars="200"/>
              <w:rPr>
                <w:b/>
                <w:bCs/>
              </w:rPr>
            </w:pPr>
            <w:r>
              <w:rPr>
                <w:rFonts w:hint="eastAsia"/>
                <w:b/>
                <w:bCs/>
              </w:rPr>
              <w:t>1）污染物防治措施可行性</w:t>
            </w:r>
          </w:p>
          <w:p>
            <w:pPr>
              <w:adjustRightInd w:val="0"/>
              <w:snapToGrid w:val="0"/>
              <w:spacing w:line="360" w:lineRule="auto"/>
              <w:ind w:firstLine="480" w:firstLineChars="200"/>
              <w:rPr>
                <w:bCs/>
                <w:szCs w:val="20"/>
                <w:lang w:val="en-GB"/>
              </w:rPr>
            </w:pPr>
            <w:r>
              <w:rPr>
                <w:rFonts w:hint="eastAsia"/>
                <w:bCs/>
                <w:szCs w:val="20"/>
              </w:rPr>
              <w:t>依据</w:t>
            </w:r>
            <w:r>
              <w:rPr>
                <w:rFonts w:hint="eastAsia"/>
                <w:bCs/>
                <w:szCs w:val="20"/>
                <w:lang w:val="en-GB"/>
              </w:rPr>
              <w:t>《第二次全国污染源普查工业污染源普查》2023 刨花板制造行业，下料颗粒物可采用单筒（多筒并联）旋风除尘和袋式除尘，项目刨片、筛分工序产生采用脉冲袋式除尘器是可行的。</w:t>
            </w:r>
          </w:p>
          <w:p>
            <w:pPr>
              <w:adjustRightInd w:val="0"/>
              <w:snapToGrid w:val="0"/>
              <w:spacing w:line="360" w:lineRule="auto"/>
              <w:ind w:firstLine="480" w:firstLineChars="200"/>
              <w:rPr>
                <w:bCs/>
              </w:rPr>
            </w:pPr>
            <w:r>
              <w:rPr>
                <w:rFonts w:hint="eastAsia"/>
                <w:bCs/>
              </w:rPr>
              <w:t>类比《排放源统计调查产排污核算方法和系数手册》中2922塑料板、管、型材制造行业，产生的有机废气（含甲醛）可采用蓄热式热力燃烧法的末端治理设施，因此，本项目产生的VOCs采用蓄热式热力燃烧法的措施是可行的。</w:t>
            </w:r>
          </w:p>
          <w:p>
            <w:pPr>
              <w:adjustRightInd w:val="0"/>
              <w:snapToGrid w:val="0"/>
              <w:spacing w:line="360" w:lineRule="auto"/>
              <w:ind w:firstLine="482" w:firstLineChars="200"/>
              <w:rPr>
                <w:b/>
                <w:bCs/>
              </w:rPr>
            </w:pPr>
            <w:r>
              <w:rPr>
                <w:rFonts w:hint="eastAsia"/>
                <w:b/>
                <w:bCs/>
              </w:rPr>
              <w:t>2）排气筒设置可行性分析：</w:t>
            </w:r>
          </w:p>
          <w:p>
            <w:pPr>
              <w:adjustRightInd w:val="0"/>
              <w:snapToGrid w:val="0"/>
              <w:spacing w:line="360" w:lineRule="auto"/>
              <w:ind w:firstLine="480" w:firstLineChars="200"/>
              <w:rPr>
                <w:bCs/>
              </w:rPr>
            </w:pPr>
            <w:r>
              <w:rPr>
                <w:rFonts w:hint="eastAsia"/>
                <w:bCs/>
              </w:rPr>
              <w:t>根据厂区现有平面生产线分布、各污染物产排情况及原厂区排气筒布设情况，排气筒位置、个数设置均合理；排气筒温度参考同类行业排气筒出口温度。</w:t>
            </w:r>
          </w:p>
          <w:p>
            <w:pPr>
              <w:adjustRightInd w:val="0"/>
              <w:snapToGrid w:val="0"/>
              <w:spacing w:line="360" w:lineRule="auto"/>
              <w:ind w:firstLine="480" w:firstLineChars="200"/>
              <w:rPr>
                <w:szCs w:val="20"/>
              </w:rPr>
            </w:pPr>
            <w:r>
              <w:rPr>
                <w:rFonts w:hint="eastAsia"/>
                <w:bCs/>
              </w:rPr>
              <w:t>综上所述，排气筒的设置是可行的。</w:t>
            </w:r>
          </w:p>
          <w:p>
            <w:pPr>
              <w:adjustRightInd w:val="0"/>
              <w:snapToGrid w:val="0"/>
              <w:spacing w:line="360" w:lineRule="auto"/>
              <w:ind w:firstLine="482" w:firstLineChars="200"/>
              <w:rPr>
                <w:b/>
                <w:szCs w:val="20"/>
                <w:lang w:bidi="zh-CN"/>
              </w:rPr>
            </w:pPr>
            <w:r>
              <w:rPr>
                <w:rFonts w:hint="eastAsia"/>
                <w:b/>
                <w:szCs w:val="20"/>
                <w:lang w:bidi="zh-CN"/>
              </w:rPr>
              <w:t>3）废气排放达标性分析</w:t>
            </w:r>
          </w:p>
          <w:p>
            <w:pPr>
              <w:adjustRightInd w:val="0"/>
              <w:snapToGrid w:val="0"/>
              <w:spacing w:line="360" w:lineRule="auto"/>
              <w:ind w:firstLine="480" w:firstLineChars="200"/>
              <w:rPr>
                <w:szCs w:val="20"/>
                <w:lang w:bidi="zh-CN"/>
              </w:rPr>
            </w:pPr>
            <w:r>
              <w:rPr>
                <w:rFonts w:hint="eastAsia"/>
                <w:szCs w:val="20"/>
                <w:lang w:bidi="zh-CN"/>
              </w:rPr>
              <w:t>根据上述计算可知：</w:t>
            </w:r>
          </w:p>
          <w:p>
            <w:pPr>
              <w:adjustRightInd w:val="0"/>
              <w:snapToGrid w:val="0"/>
              <w:spacing w:line="360" w:lineRule="auto"/>
              <w:ind w:firstLine="480" w:firstLineChars="200"/>
              <w:rPr>
                <w:szCs w:val="20"/>
                <w:lang w:val="en-GB" w:bidi="zh-CN"/>
              </w:rPr>
            </w:pPr>
            <w:r>
              <w:rPr>
                <w:szCs w:val="20"/>
                <w:lang w:bidi="zh-CN"/>
              </w:rPr>
              <w:t>运营期正常工况下，</w:t>
            </w:r>
            <w:r>
              <w:rPr>
                <w:szCs w:val="20"/>
                <w:lang w:val="en-GB" w:bidi="zh-CN"/>
              </w:rPr>
              <w:t>项目有组织颗粒物</w:t>
            </w:r>
            <w:r>
              <w:rPr>
                <w:rFonts w:hint="eastAsia"/>
                <w:szCs w:val="20"/>
                <w:lang w:val="en-GB" w:bidi="zh-CN"/>
              </w:rPr>
              <w:t>满足《大气污染物综合排放标准》（GB16297-1996）表2</w:t>
            </w:r>
            <w:r>
              <w:rPr>
                <w:szCs w:val="20"/>
                <w:lang w:val="en-GB" w:bidi="zh-CN"/>
              </w:rPr>
              <w:t>排放浓度</w:t>
            </w:r>
            <w:r>
              <w:rPr>
                <w:rFonts w:hint="eastAsia"/>
                <w:szCs w:val="20"/>
                <w:lang w:val="en-GB" w:bidi="zh-CN"/>
              </w:rPr>
              <w:t>限值；有组织VOCs、甲醛满足《大气污染物综合排放标准》（GB16297-1996）表2中标准。</w:t>
            </w:r>
          </w:p>
          <w:p>
            <w:pPr>
              <w:adjustRightInd w:val="0"/>
              <w:snapToGrid w:val="0"/>
              <w:spacing w:line="360" w:lineRule="auto"/>
              <w:ind w:firstLine="480" w:firstLineChars="200"/>
              <w:rPr>
                <w:bCs/>
              </w:rPr>
            </w:pPr>
            <w:r>
              <w:rPr>
                <w:szCs w:val="20"/>
                <w:lang w:val="en-GB" w:bidi="zh-CN"/>
              </w:rPr>
              <w:t>无组织颗粒物</w:t>
            </w:r>
            <w:r>
              <w:rPr>
                <w:rFonts w:hint="eastAsia"/>
                <w:szCs w:val="20"/>
                <w:lang w:val="en-GB" w:bidi="zh-CN"/>
              </w:rPr>
              <w:t>满足《大气污染物综合排放标准》（GB16297-1996）表2无组织</w:t>
            </w:r>
            <w:r>
              <w:rPr>
                <w:szCs w:val="20"/>
                <w:lang w:val="en-GB" w:bidi="zh-CN"/>
              </w:rPr>
              <w:t>排放浓度</w:t>
            </w:r>
            <w:r>
              <w:rPr>
                <w:rFonts w:hint="eastAsia"/>
                <w:szCs w:val="20"/>
                <w:lang w:val="en-GB" w:bidi="zh-CN"/>
              </w:rPr>
              <w:t>限值；无组织VOCs厂内浓度满足</w:t>
            </w:r>
            <w:r>
              <w:rPr>
                <w:szCs w:val="20"/>
                <w:lang w:bidi="zh-CN"/>
              </w:rPr>
              <w:t>《挥发性有机物无组织排放控制标准》（GB37822-2019）</w:t>
            </w:r>
            <w:r>
              <w:rPr>
                <w:rFonts w:hint="eastAsia"/>
                <w:szCs w:val="20"/>
                <w:lang w:bidi="zh-CN"/>
              </w:rPr>
              <w:t>要求，厂界浓度满足《大气污染物综合排放标准》（GB16297-1996）</w:t>
            </w:r>
            <w:r>
              <w:rPr>
                <w:rFonts w:hint="eastAsia"/>
                <w:szCs w:val="20"/>
                <w:lang w:val="en-GB" w:bidi="zh-CN"/>
              </w:rPr>
              <w:t>要求</w:t>
            </w:r>
            <w:r>
              <w:rPr>
                <w:szCs w:val="20"/>
                <w:lang w:bidi="zh-CN"/>
              </w:rPr>
              <w:t>；无组织甲醛</w:t>
            </w:r>
            <w:r>
              <w:rPr>
                <w:rFonts w:hint="eastAsia"/>
                <w:szCs w:val="20"/>
                <w:lang w:bidi="zh-CN"/>
              </w:rPr>
              <w:t>满足</w:t>
            </w:r>
            <w:r>
              <w:rPr>
                <w:rFonts w:hint="eastAsia"/>
                <w:szCs w:val="20"/>
                <w:lang w:val="en-GB" w:bidi="zh-CN"/>
              </w:rPr>
              <w:t>《大气污染物综合排放标准》（GB16297-1996）表2无组织</w:t>
            </w:r>
            <w:r>
              <w:rPr>
                <w:szCs w:val="20"/>
                <w:lang w:val="en-GB" w:bidi="zh-CN"/>
              </w:rPr>
              <w:t>排放浓度</w:t>
            </w:r>
            <w:r>
              <w:rPr>
                <w:rFonts w:hint="eastAsia"/>
                <w:szCs w:val="20"/>
                <w:lang w:val="en-GB" w:bidi="zh-CN"/>
              </w:rPr>
              <w:t>限值。</w:t>
            </w:r>
          </w:p>
          <w:p>
            <w:pPr>
              <w:adjustRightInd w:val="0"/>
              <w:snapToGrid w:val="0"/>
              <w:spacing w:line="360" w:lineRule="auto"/>
              <w:ind w:firstLine="480" w:firstLineChars="200"/>
              <w:rPr>
                <w:bCs/>
              </w:rPr>
            </w:pPr>
            <w:r>
              <w:rPr>
                <w:rFonts w:hint="eastAsia"/>
                <w:bCs/>
              </w:rPr>
              <w:t>因此，项目废气排放是达标的。</w:t>
            </w:r>
          </w:p>
          <w:p>
            <w:pPr>
              <w:adjustRightInd w:val="0"/>
              <w:snapToGrid w:val="0"/>
              <w:spacing w:line="360" w:lineRule="auto"/>
              <w:ind w:firstLine="482" w:firstLineChars="200"/>
              <w:rPr>
                <w:b/>
                <w:bCs/>
              </w:rPr>
            </w:pPr>
            <w:r>
              <w:rPr>
                <w:b/>
                <w:bCs/>
              </w:rPr>
              <w:t>6、非正常排放量核算</w:t>
            </w:r>
          </w:p>
          <w:p>
            <w:pPr>
              <w:adjustRightInd w:val="0"/>
              <w:snapToGrid w:val="0"/>
              <w:spacing w:line="360" w:lineRule="auto"/>
              <w:ind w:firstLine="480" w:firstLineChars="200"/>
              <w:rPr>
                <w:bCs/>
              </w:rPr>
            </w:pPr>
            <w:r>
              <w:rPr>
                <w:rFonts w:hint="eastAsia"/>
                <w:bCs/>
              </w:rPr>
              <w:t>1）临时开停车</w:t>
            </w:r>
          </w:p>
          <w:p>
            <w:pPr>
              <w:adjustRightInd w:val="0"/>
              <w:snapToGrid w:val="0"/>
              <w:spacing w:line="360" w:lineRule="auto"/>
              <w:ind w:firstLine="480" w:firstLineChars="200"/>
              <w:rPr>
                <w:bCs/>
              </w:rPr>
            </w:pPr>
            <w:r>
              <w:rPr>
                <w:rFonts w:hint="eastAsia"/>
                <w:bCs/>
              </w:rPr>
              <w:t>在生产过程中，停水、停电或某一设备发生故障，可导致整个工序临时停工。在临时停工过程中，各设备停止运行，待故障排除后，恢复正常生产。</w:t>
            </w:r>
          </w:p>
          <w:p>
            <w:pPr>
              <w:adjustRightInd w:val="0"/>
              <w:snapToGrid w:val="0"/>
              <w:spacing w:line="360" w:lineRule="auto"/>
              <w:ind w:firstLine="480" w:firstLineChars="200"/>
              <w:rPr>
                <w:bCs/>
              </w:rPr>
            </w:pPr>
            <w:r>
              <w:rPr>
                <w:rFonts w:hint="eastAsia"/>
                <w:bCs/>
              </w:rPr>
              <w:t>2）环保设施发生故障</w:t>
            </w:r>
          </w:p>
          <w:p>
            <w:pPr>
              <w:adjustRightInd w:val="0"/>
              <w:snapToGrid w:val="0"/>
              <w:spacing w:line="360" w:lineRule="auto"/>
              <w:ind w:firstLine="480" w:firstLineChars="200"/>
              <w:rPr>
                <w:bCs/>
              </w:rPr>
            </w:pPr>
            <w:r>
              <w:rPr>
                <w:rFonts w:hint="eastAsia"/>
                <w:bCs/>
              </w:rPr>
              <w:t>环保措施岀现故障时，会使污染物处理效率下降或者根本得不到处理而排入环境中，増加污染物排放量及对外环境的影响。</w:t>
            </w:r>
          </w:p>
          <w:p>
            <w:pPr>
              <w:adjustRightInd w:val="0"/>
              <w:snapToGrid w:val="0"/>
              <w:spacing w:line="360" w:lineRule="auto"/>
              <w:ind w:firstLine="480" w:firstLineChars="200"/>
              <w:rPr>
                <w:bCs/>
              </w:rPr>
            </w:pPr>
            <w:r>
              <w:rPr>
                <w:rFonts w:hint="eastAsia"/>
                <w:bCs/>
              </w:rPr>
              <w:t>本项目主要考虑装置配套的废气治理措施岀现故障情况，“旋风+脉冲袋式除尘器、RTO设施”去除效率为零的极端情况下，非正常工况工艺废气排放情况见下表</w:t>
            </w:r>
            <w:r>
              <w:rPr>
                <w:bCs/>
              </w:rPr>
              <w:t>。</w:t>
            </w:r>
          </w:p>
          <w:p>
            <w:pPr>
              <w:adjustRightInd w:val="0"/>
              <w:snapToGrid w:val="0"/>
              <w:spacing w:line="360" w:lineRule="auto"/>
              <w:jc w:val="center"/>
              <w:rPr>
                <w:b/>
                <w:kern w:val="36"/>
                <w:sz w:val="21"/>
                <w:szCs w:val="21"/>
                <w:lang w:bidi="zh-CN"/>
              </w:rPr>
            </w:pPr>
            <w:r>
              <w:rPr>
                <w:b/>
                <w:kern w:val="36"/>
                <w:sz w:val="21"/>
                <w:szCs w:val="21"/>
                <w:lang w:bidi="zh-CN"/>
              </w:rPr>
              <w:t>表4-8  污染源非正常排放量核算</w:t>
            </w:r>
          </w:p>
          <w:tbl>
            <w:tblPr>
              <w:tblStyle w:val="50"/>
              <w:tblW w:w="4991"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4"/>
              <w:gridCol w:w="848"/>
              <w:gridCol w:w="1262"/>
              <w:gridCol w:w="993"/>
              <w:gridCol w:w="1302"/>
              <w:gridCol w:w="1027"/>
              <w:gridCol w:w="924"/>
              <w:gridCol w:w="11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446"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序号</w:t>
                  </w:r>
                </w:p>
              </w:tc>
              <w:tc>
                <w:tcPr>
                  <w:tcW w:w="516"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污染源</w:t>
                  </w:r>
                </w:p>
              </w:tc>
              <w:tc>
                <w:tcPr>
                  <w:tcW w:w="768"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非正常排放原因</w:t>
                  </w:r>
                </w:p>
              </w:tc>
              <w:tc>
                <w:tcPr>
                  <w:tcW w:w="604"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污染物</w:t>
                  </w:r>
                </w:p>
              </w:tc>
              <w:tc>
                <w:tcPr>
                  <w:tcW w:w="792"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非正常排放浓度（mg/m</w:t>
                  </w:r>
                  <w:r>
                    <w:rPr>
                      <w:b/>
                      <w:kern w:val="0"/>
                      <w:sz w:val="21"/>
                      <w:szCs w:val="21"/>
                      <w:vertAlign w:val="superscript"/>
                      <w:lang w:bidi="zh-CN"/>
                    </w:rPr>
                    <w:t>3</w:t>
                  </w:r>
                  <w:r>
                    <w:rPr>
                      <w:b/>
                      <w:kern w:val="0"/>
                      <w:sz w:val="21"/>
                      <w:szCs w:val="21"/>
                      <w:lang w:bidi="zh-CN"/>
                    </w:rPr>
                    <w:t>）</w:t>
                  </w:r>
                </w:p>
              </w:tc>
              <w:tc>
                <w:tcPr>
                  <w:tcW w:w="625"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非正常排放速率（kg/h）</w:t>
                  </w:r>
                </w:p>
              </w:tc>
              <w:tc>
                <w:tcPr>
                  <w:tcW w:w="562"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单次持续时间（min）</w:t>
                  </w:r>
                </w:p>
              </w:tc>
              <w:tc>
                <w:tcPr>
                  <w:tcW w:w="687" w:type="pct"/>
                  <w:vAlign w:val="center"/>
                </w:tcPr>
                <w:p>
                  <w:pPr>
                    <w:widowControl/>
                    <w:adjustRightInd w:val="0"/>
                    <w:snapToGrid w:val="0"/>
                    <w:spacing w:line="360" w:lineRule="exact"/>
                    <w:jc w:val="center"/>
                    <w:rPr>
                      <w:b/>
                      <w:kern w:val="0"/>
                      <w:sz w:val="21"/>
                      <w:szCs w:val="21"/>
                      <w:lang w:bidi="zh-CN"/>
                    </w:rPr>
                  </w:pPr>
                  <w:r>
                    <w:rPr>
                      <w:b/>
                      <w:kern w:val="0"/>
                      <w:sz w:val="21"/>
                      <w:szCs w:val="21"/>
                      <w:lang w:bidi="zh-CN"/>
                    </w:rPr>
                    <w:t>应对措施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46" w:type="pct"/>
                  <w:vMerge w:val="restart"/>
                  <w:vAlign w:val="center"/>
                </w:tcPr>
                <w:p>
                  <w:pPr>
                    <w:widowControl/>
                    <w:adjustRightInd w:val="0"/>
                    <w:snapToGrid w:val="0"/>
                    <w:spacing w:line="360" w:lineRule="exact"/>
                    <w:jc w:val="center"/>
                    <w:rPr>
                      <w:kern w:val="0"/>
                      <w:sz w:val="21"/>
                      <w:szCs w:val="21"/>
                      <w:lang w:bidi="zh-CN"/>
                    </w:rPr>
                  </w:pPr>
                  <w:r>
                    <w:rPr>
                      <w:kern w:val="0"/>
                      <w:sz w:val="21"/>
                      <w:szCs w:val="21"/>
                      <w:lang w:bidi="zh-CN"/>
                    </w:rPr>
                    <w:t>1</w:t>
                  </w:r>
                </w:p>
              </w:tc>
              <w:tc>
                <w:tcPr>
                  <w:tcW w:w="516" w:type="pct"/>
                  <w:vMerge w:val="restart"/>
                  <w:vAlign w:val="center"/>
                </w:tcPr>
                <w:p>
                  <w:pPr>
                    <w:widowControl/>
                    <w:adjustRightInd w:val="0"/>
                    <w:snapToGrid w:val="0"/>
                    <w:spacing w:line="360" w:lineRule="exact"/>
                    <w:jc w:val="center"/>
                    <w:rPr>
                      <w:kern w:val="0"/>
                      <w:sz w:val="21"/>
                      <w:szCs w:val="21"/>
                      <w:lang w:bidi="zh-CN"/>
                    </w:rPr>
                  </w:pPr>
                  <w:r>
                    <w:rPr>
                      <w:kern w:val="0"/>
                      <w:sz w:val="21"/>
                      <w:szCs w:val="21"/>
                      <w:lang w:bidi="zh-CN"/>
                    </w:rPr>
                    <w:t>排气筒DA001</w:t>
                  </w:r>
                </w:p>
              </w:tc>
              <w:tc>
                <w:tcPr>
                  <w:tcW w:w="768" w:type="pct"/>
                  <w:vMerge w:val="restart"/>
                  <w:vAlign w:val="center"/>
                </w:tcPr>
                <w:p>
                  <w:pPr>
                    <w:widowControl/>
                    <w:adjustRightInd w:val="0"/>
                    <w:snapToGrid w:val="0"/>
                    <w:spacing w:line="360" w:lineRule="exact"/>
                    <w:jc w:val="center"/>
                    <w:rPr>
                      <w:kern w:val="0"/>
                      <w:sz w:val="21"/>
                      <w:szCs w:val="21"/>
                      <w:lang w:bidi="zh-CN"/>
                    </w:rPr>
                  </w:pPr>
                  <w:r>
                    <w:rPr>
                      <w:kern w:val="0"/>
                      <w:sz w:val="21"/>
                      <w:szCs w:val="21"/>
                      <w:lang w:bidi="zh-CN"/>
                    </w:rPr>
                    <w:t>废气处理装置发生故障，达不到设计处理效率</w:t>
                  </w:r>
                </w:p>
              </w:tc>
              <w:tc>
                <w:tcPr>
                  <w:tcW w:w="604" w:type="pct"/>
                  <w:vAlign w:val="center"/>
                </w:tcPr>
                <w:p>
                  <w:pPr>
                    <w:widowControl/>
                    <w:adjustRightInd w:val="0"/>
                    <w:snapToGrid w:val="0"/>
                    <w:spacing w:line="360" w:lineRule="exact"/>
                    <w:jc w:val="center"/>
                    <w:rPr>
                      <w:kern w:val="0"/>
                      <w:sz w:val="21"/>
                      <w:szCs w:val="21"/>
                      <w:lang w:bidi="zh-CN"/>
                    </w:rPr>
                  </w:pPr>
                  <w:r>
                    <w:rPr>
                      <w:rFonts w:hint="eastAsia"/>
                      <w:sz w:val="21"/>
                      <w:szCs w:val="21"/>
                    </w:rPr>
                    <w:t>颗粒物</w:t>
                  </w:r>
                </w:p>
              </w:tc>
              <w:tc>
                <w:tcPr>
                  <w:tcW w:w="792" w:type="pct"/>
                  <w:vAlign w:val="center"/>
                </w:tcPr>
                <w:p>
                  <w:pPr>
                    <w:jc w:val="center"/>
                    <w:rPr>
                      <w:sz w:val="21"/>
                      <w:szCs w:val="21"/>
                    </w:rPr>
                  </w:pPr>
                  <w:r>
                    <w:rPr>
                      <w:rFonts w:hint="eastAsia"/>
                      <w:kern w:val="0"/>
                      <w:sz w:val="21"/>
                      <w:szCs w:val="20"/>
                    </w:rPr>
                    <w:t>7</w:t>
                  </w:r>
                  <w:r>
                    <w:rPr>
                      <w:kern w:val="0"/>
                      <w:sz w:val="21"/>
                      <w:szCs w:val="20"/>
                    </w:rPr>
                    <w:t>41</w:t>
                  </w:r>
                  <w:r>
                    <w:rPr>
                      <w:rFonts w:hint="eastAsia"/>
                      <w:kern w:val="0"/>
                      <w:sz w:val="21"/>
                      <w:szCs w:val="20"/>
                    </w:rPr>
                    <w:t>.</w:t>
                  </w:r>
                  <w:r>
                    <w:rPr>
                      <w:kern w:val="0"/>
                      <w:sz w:val="21"/>
                      <w:szCs w:val="20"/>
                    </w:rPr>
                    <w:t>32</w:t>
                  </w:r>
                </w:p>
              </w:tc>
              <w:tc>
                <w:tcPr>
                  <w:tcW w:w="625" w:type="pct"/>
                  <w:vAlign w:val="center"/>
                </w:tcPr>
                <w:p>
                  <w:pPr>
                    <w:jc w:val="center"/>
                    <w:rPr>
                      <w:sz w:val="21"/>
                      <w:szCs w:val="21"/>
                    </w:rPr>
                  </w:pPr>
                  <w:r>
                    <w:rPr>
                      <w:rFonts w:hint="eastAsia"/>
                      <w:kern w:val="0"/>
                      <w:sz w:val="21"/>
                      <w:szCs w:val="20"/>
                    </w:rPr>
                    <w:t>5.</w:t>
                  </w:r>
                  <w:r>
                    <w:rPr>
                      <w:kern w:val="0"/>
                      <w:sz w:val="21"/>
                      <w:szCs w:val="20"/>
                    </w:rPr>
                    <w:t>734</w:t>
                  </w:r>
                </w:p>
              </w:tc>
              <w:tc>
                <w:tcPr>
                  <w:tcW w:w="562" w:type="pct"/>
                  <w:vMerge w:val="restart"/>
                  <w:vAlign w:val="center"/>
                </w:tcPr>
                <w:p>
                  <w:pPr>
                    <w:widowControl/>
                    <w:adjustRightInd w:val="0"/>
                    <w:snapToGrid w:val="0"/>
                    <w:spacing w:line="360" w:lineRule="exact"/>
                    <w:jc w:val="center"/>
                    <w:rPr>
                      <w:kern w:val="0"/>
                      <w:sz w:val="21"/>
                      <w:szCs w:val="21"/>
                      <w:lang w:bidi="zh-CN"/>
                    </w:rPr>
                  </w:pPr>
                  <w:r>
                    <w:rPr>
                      <w:kern w:val="0"/>
                      <w:sz w:val="21"/>
                      <w:szCs w:val="21"/>
                      <w:lang w:bidi="zh-CN"/>
                    </w:rPr>
                    <w:t>10</w:t>
                  </w:r>
                </w:p>
              </w:tc>
              <w:tc>
                <w:tcPr>
                  <w:tcW w:w="687" w:type="pct"/>
                  <w:vMerge w:val="restart"/>
                  <w:vAlign w:val="center"/>
                </w:tcPr>
                <w:p>
                  <w:pPr>
                    <w:widowControl/>
                    <w:adjustRightInd w:val="0"/>
                    <w:snapToGrid w:val="0"/>
                    <w:spacing w:line="360" w:lineRule="exact"/>
                    <w:jc w:val="center"/>
                    <w:rPr>
                      <w:kern w:val="0"/>
                      <w:sz w:val="21"/>
                      <w:szCs w:val="21"/>
                      <w:lang w:bidi="zh-CN"/>
                    </w:rPr>
                  </w:pPr>
                  <w:r>
                    <w:rPr>
                      <w:kern w:val="0"/>
                      <w:sz w:val="21"/>
                      <w:szCs w:val="21"/>
                      <w:lang w:bidi="zh-CN"/>
                    </w:rPr>
                    <w:t>加强设备维护与运行监视，保证设备正常运行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6" w:type="pct"/>
                  <w:vMerge w:val="continue"/>
                  <w:vAlign w:val="center"/>
                </w:tcPr>
                <w:p>
                  <w:pPr>
                    <w:widowControl/>
                    <w:adjustRightInd w:val="0"/>
                    <w:snapToGrid w:val="0"/>
                    <w:spacing w:line="360" w:lineRule="exact"/>
                    <w:jc w:val="center"/>
                    <w:rPr>
                      <w:kern w:val="0"/>
                      <w:sz w:val="21"/>
                      <w:szCs w:val="21"/>
                      <w:lang w:bidi="zh-CN"/>
                    </w:rPr>
                  </w:pPr>
                </w:p>
              </w:tc>
              <w:tc>
                <w:tcPr>
                  <w:tcW w:w="516" w:type="pct"/>
                  <w:vMerge w:val="continue"/>
                  <w:vAlign w:val="center"/>
                </w:tcPr>
                <w:p>
                  <w:pPr>
                    <w:widowControl/>
                    <w:adjustRightInd w:val="0"/>
                    <w:snapToGrid w:val="0"/>
                    <w:spacing w:line="360" w:lineRule="exact"/>
                    <w:jc w:val="center"/>
                    <w:rPr>
                      <w:kern w:val="0"/>
                      <w:sz w:val="21"/>
                      <w:szCs w:val="21"/>
                      <w:lang w:bidi="zh-CN"/>
                    </w:rPr>
                  </w:pPr>
                </w:p>
              </w:tc>
              <w:tc>
                <w:tcPr>
                  <w:tcW w:w="768" w:type="pct"/>
                  <w:vMerge w:val="continue"/>
                  <w:vAlign w:val="center"/>
                </w:tcPr>
                <w:p>
                  <w:pPr>
                    <w:widowControl/>
                    <w:adjustRightInd w:val="0"/>
                    <w:snapToGrid w:val="0"/>
                    <w:spacing w:line="360" w:lineRule="exact"/>
                    <w:jc w:val="center"/>
                    <w:rPr>
                      <w:kern w:val="0"/>
                      <w:sz w:val="21"/>
                      <w:szCs w:val="21"/>
                      <w:lang w:bidi="zh-CN"/>
                    </w:rPr>
                  </w:pPr>
                </w:p>
              </w:tc>
              <w:tc>
                <w:tcPr>
                  <w:tcW w:w="604" w:type="pct"/>
                  <w:vAlign w:val="center"/>
                </w:tcPr>
                <w:p>
                  <w:pPr>
                    <w:widowControl/>
                    <w:adjustRightInd w:val="0"/>
                    <w:snapToGrid w:val="0"/>
                    <w:spacing w:line="360" w:lineRule="exact"/>
                    <w:jc w:val="center"/>
                    <w:rPr>
                      <w:kern w:val="0"/>
                      <w:sz w:val="21"/>
                      <w:szCs w:val="21"/>
                      <w:lang w:bidi="zh-CN"/>
                    </w:rPr>
                  </w:pPr>
                  <w:r>
                    <w:rPr>
                      <w:rFonts w:hint="eastAsia"/>
                      <w:sz w:val="21"/>
                      <w:szCs w:val="21"/>
                    </w:rPr>
                    <w:t>VOCs</w:t>
                  </w:r>
                </w:p>
              </w:tc>
              <w:tc>
                <w:tcPr>
                  <w:tcW w:w="792" w:type="pct"/>
                  <w:vAlign w:val="center"/>
                </w:tcPr>
                <w:p>
                  <w:pPr>
                    <w:jc w:val="center"/>
                    <w:rPr>
                      <w:sz w:val="21"/>
                      <w:szCs w:val="21"/>
                    </w:rPr>
                  </w:pPr>
                  <w:r>
                    <w:rPr>
                      <w:rFonts w:hint="eastAsia"/>
                      <w:kern w:val="0"/>
                      <w:sz w:val="21"/>
                      <w:szCs w:val="20"/>
                    </w:rPr>
                    <w:t>1.</w:t>
                  </w:r>
                  <w:r>
                    <w:rPr>
                      <w:kern w:val="0"/>
                      <w:sz w:val="21"/>
                      <w:szCs w:val="20"/>
                    </w:rPr>
                    <w:t>733</w:t>
                  </w:r>
                </w:p>
              </w:tc>
              <w:tc>
                <w:tcPr>
                  <w:tcW w:w="625" w:type="pct"/>
                  <w:vAlign w:val="center"/>
                </w:tcPr>
                <w:p>
                  <w:pPr>
                    <w:jc w:val="center"/>
                    <w:rPr>
                      <w:sz w:val="21"/>
                      <w:szCs w:val="21"/>
                    </w:rPr>
                  </w:pPr>
                  <w:r>
                    <w:rPr>
                      <w:rFonts w:hint="eastAsia"/>
                      <w:kern w:val="0"/>
                      <w:sz w:val="21"/>
                      <w:szCs w:val="20"/>
                    </w:rPr>
                    <w:t>0.</w:t>
                  </w:r>
                  <w:r>
                    <w:rPr>
                      <w:kern w:val="0"/>
                      <w:sz w:val="21"/>
                      <w:szCs w:val="20"/>
                    </w:rPr>
                    <w:t>0134</w:t>
                  </w:r>
                </w:p>
              </w:tc>
              <w:tc>
                <w:tcPr>
                  <w:tcW w:w="562" w:type="pct"/>
                  <w:vMerge w:val="continue"/>
                  <w:vAlign w:val="center"/>
                </w:tcPr>
                <w:p>
                  <w:pPr>
                    <w:widowControl/>
                    <w:adjustRightInd w:val="0"/>
                    <w:snapToGrid w:val="0"/>
                    <w:spacing w:line="360" w:lineRule="exact"/>
                    <w:jc w:val="center"/>
                    <w:rPr>
                      <w:kern w:val="0"/>
                      <w:sz w:val="21"/>
                      <w:szCs w:val="21"/>
                      <w:lang w:bidi="zh-CN"/>
                    </w:rPr>
                  </w:pPr>
                </w:p>
              </w:tc>
              <w:tc>
                <w:tcPr>
                  <w:tcW w:w="687" w:type="pct"/>
                  <w:vMerge w:val="continue"/>
                  <w:vAlign w:val="center"/>
                </w:tcPr>
                <w:p>
                  <w:pPr>
                    <w:widowControl/>
                    <w:adjustRightInd w:val="0"/>
                    <w:snapToGrid w:val="0"/>
                    <w:spacing w:line="360" w:lineRule="exact"/>
                    <w:jc w:val="center"/>
                    <w:rPr>
                      <w:kern w:val="0"/>
                      <w:sz w:val="21"/>
                      <w:szCs w:val="21"/>
                      <w:lang w:bidi="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6" w:type="pct"/>
                  <w:vAlign w:val="center"/>
                </w:tcPr>
                <w:p>
                  <w:pPr>
                    <w:widowControl/>
                    <w:adjustRightInd w:val="0"/>
                    <w:snapToGrid w:val="0"/>
                    <w:spacing w:line="360" w:lineRule="exact"/>
                    <w:jc w:val="center"/>
                    <w:rPr>
                      <w:kern w:val="0"/>
                      <w:sz w:val="21"/>
                      <w:szCs w:val="21"/>
                      <w:lang w:bidi="zh-CN"/>
                    </w:rPr>
                  </w:pPr>
                  <w:r>
                    <w:rPr>
                      <w:rFonts w:hint="eastAsia"/>
                      <w:kern w:val="0"/>
                      <w:sz w:val="21"/>
                      <w:szCs w:val="21"/>
                      <w:lang w:bidi="zh-CN"/>
                    </w:rPr>
                    <w:t>2</w:t>
                  </w:r>
                </w:p>
              </w:tc>
              <w:tc>
                <w:tcPr>
                  <w:tcW w:w="516" w:type="pct"/>
                  <w:vAlign w:val="center"/>
                </w:tcPr>
                <w:p>
                  <w:pPr>
                    <w:widowControl/>
                    <w:adjustRightInd w:val="0"/>
                    <w:snapToGrid w:val="0"/>
                    <w:spacing w:line="360" w:lineRule="exact"/>
                    <w:jc w:val="center"/>
                    <w:rPr>
                      <w:kern w:val="0"/>
                      <w:sz w:val="21"/>
                      <w:szCs w:val="21"/>
                      <w:lang w:bidi="zh-CN"/>
                    </w:rPr>
                  </w:pPr>
                  <w:r>
                    <w:rPr>
                      <w:rFonts w:hint="eastAsia"/>
                      <w:kern w:val="0"/>
                      <w:sz w:val="21"/>
                      <w:szCs w:val="21"/>
                      <w:lang w:bidi="zh-CN"/>
                    </w:rPr>
                    <w:t>排气筒DA002</w:t>
                  </w:r>
                </w:p>
              </w:tc>
              <w:tc>
                <w:tcPr>
                  <w:tcW w:w="768" w:type="pct"/>
                  <w:vMerge w:val="continue"/>
                  <w:vAlign w:val="center"/>
                </w:tcPr>
                <w:p>
                  <w:pPr>
                    <w:widowControl/>
                    <w:adjustRightInd w:val="0"/>
                    <w:snapToGrid w:val="0"/>
                    <w:spacing w:line="360" w:lineRule="exact"/>
                    <w:jc w:val="center"/>
                    <w:rPr>
                      <w:kern w:val="0"/>
                      <w:sz w:val="21"/>
                      <w:szCs w:val="21"/>
                      <w:lang w:bidi="zh-CN"/>
                    </w:rPr>
                  </w:pPr>
                </w:p>
              </w:tc>
              <w:tc>
                <w:tcPr>
                  <w:tcW w:w="604" w:type="pct"/>
                  <w:vAlign w:val="center"/>
                </w:tcPr>
                <w:p>
                  <w:pPr>
                    <w:widowControl/>
                    <w:adjustRightInd w:val="0"/>
                    <w:snapToGrid w:val="0"/>
                    <w:spacing w:line="360" w:lineRule="exact"/>
                    <w:jc w:val="center"/>
                    <w:rPr>
                      <w:sz w:val="21"/>
                      <w:szCs w:val="21"/>
                    </w:rPr>
                  </w:pPr>
                  <w:r>
                    <w:rPr>
                      <w:rFonts w:hint="eastAsia"/>
                      <w:sz w:val="21"/>
                      <w:szCs w:val="21"/>
                    </w:rPr>
                    <w:t>颗粒物</w:t>
                  </w:r>
                </w:p>
              </w:tc>
              <w:tc>
                <w:tcPr>
                  <w:tcW w:w="792" w:type="pct"/>
                  <w:vAlign w:val="center"/>
                </w:tcPr>
                <w:p>
                  <w:pPr>
                    <w:jc w:val="center"/>
                    <w:rPr>
                      <w:kern w:val="0"/>
                      <w:sz w:val="21"/>
                      <w:szCs w:val="21"/>
                    </w:rPr>
                  </w:pPr>
                  <w:r>
                    <w:rPr>
                      <w:rFonts w:hint="eastAsia"/>
                      <w:kern w:val="0"/>
                      <w:sz w:val="21"/>
                      <w:szCs w:val="20"/>
                    </w:rPr>
                    <w:t>1</w:t>
                  </w:r>
                  <w:r>
                    <w:rPr>
                      <w:kern w:val="0"/>
                      <w:sz w:val="21"/>
                      <w:szCs w:val="20"/>
                    </w:rPr>
                    <w:t>010</w:t>
                  </w:r>
                  <w:r>
                    <w:rPr>
                      <w:rFonts w:hint="eastAsia"/>
                      <w:kern w:val="0"/>
                      <w:sz w:val="21"/>
                      <w:szCs w:val="20"/>
                    </w:rPr>
                    <w:t>.</w:t>
                  </w:r>
                  <w:r>
                    <w:rPr>
                      <w:kern w:val="0"/>
                      <w:sz w:val="21"/>
                      <w:szCs w:val="20"/>
                    </w:rPr>
                    <w:t>63</w:t>
                  </w:r>
                </w:p>
              </w:tc>
              <w:tc>
                <w:tcPr>
                  <w:tcW w:w="625" w:type="pct"/>
                  <w:vAlign w:val="center"/>
                </w:tcPr>
                <w:p>
                  <w:pPr>
                    <w:jc w:val="center"/>
                    <w:rPr>
                      <w:kern w:val="0"/>
                      <w:sz w:val="21"/>
                      <w:szCs w:val="21"/>
                    </w:rPr>
                  </w:pPr>
                  <w:r>
                    <w:rPr>
                      <w:rFonts w:hint="eastAsia"/>
                      <w:kern w:val="0"/>
                      <w:sz w:val="21"/>
                      <w:szCs w:val="20"/>
                    </w:rPr>
                    <w:t>6</w:t>
                  </w:r>
                  <w:r>
                    <w:rPr>
                      <w:kern w:val="0"/>
                      <w:sz w:val="21"/>
                      <w:szCs w:val="20"/>
                    </w:rPr>
                    <w:t>4</w:t>
                  </w:r>
                  <w:r>
                    <w:rPr>
                      <w:rFonts w:hint="eastAsia"/>
                      <w:kern w:val="0"/>
                      <w:sz w:val="21"/>
                      <w:szCs w:val="20"/>
                    </w:rPr>
                    <w:t>.</w:t>
                  </w:r>
                  <w:r>
                    <w:rPr>
                      <w:kern w:val="0"/>
                      <w:sz w:val="21"/>
                      <w:szCs w:val="20"/>
                    </w:rPr>
                    <w:t>95</w:t>
                  </w:r>
                </w:p>
              </w:tc>
              <w:tc>
                <w:tcPr>
                  <w:tcW w:w="562" w:type="pct"/>
                  <w:vMerge w:val="continue"/>
                  <w:vAlign w:val="center"/>
                </w:tcPr>
                <w:p>
                  <w:pPr>
                    <w:widowControl/>
                    <w:adjustRightInd w:val="0"/>
                    <w:snapToGrid w:val="0"/>
                    <w:spacing w:line="360" w:lineRule="exact"/>
                    <w:jc w:val="center"/>
                    <w:rPr>
                      <w:kern w:val="0"/>
                      <w:sz w:val="21"/>
                      <w:szCs w:val="21"/>
                      <w:lang w:bidi="zh-CN"/>
                    </w:rPr>
                  </w:pPr>
                </w:p>
              </w:tc>
              <w:tc>
                <w:tcPr>
                  <w:tcW w:w="687" w:type="pct"/>
                  <w:vMerge w:val="continue"/>
                  <w:vAlign w:val="center"/>
                </w:tcPr>
                <w:p>
                  <w:pPr>
                    <w:widowControl/>
                    <w:adjustRightInd w:val="0"/>
                    <w:snapToGrid w:val="0"/>
                    <w:spacing w:line="360" w:lineRule="exact"/>
                    <w:jc w:val="center"/>
                    <w:rPr>
                      <w:kern w:val="0"/>
                      <w:sz w:val="21"/>
                      <w:szCs w:val="21"/>
                      <w:lang w:bidi="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6" w:type="pct"/>
                  <w:vMerge w:val="restart"/>
                  <w:vAlign w:val="center"/>
                </w:tcPr>
                <w:p>
                  <w:pPr>
                    <w:widowControl/>
                    <w:adjustRightInd w:val="0"/>
                    <w:snapToGrid w:val="0"/>
                    <w:spacing w:line="360" w:lineRule="exact"/>
                    <w:jc w:val="center"/>
                    <w:rPr>
                      <w:kern w:val="0"/>
                      <w:sz w:val="21"/>
                      <w:szCs w:val="21"/>
                      <w:lang w:bidi="zh-CN"/>
                    </w:rPr>
                  </w:pPr>
                  <w:r>
                    <w:rPr>
                      <w:rFonts w:hint="eastAsia"/>
                      <w:kern w:val="0"/>
                      <w:sz w:val="21"/>
                      <w:szCs w:val="21"/>
                      <w:lang w:bidi="zh-CN"/>
                    </w:rPr>
                    <w:t>3</w:t>
                  </w:r>
                </w:p>
              </w:tc>
              <w:tc>
                <w:tcPr>
                  <w:tcW w:w="516" w:type="pct"/>
                  <w:vMerge w:val="restart"/>
                  <w:vAlign w:val="center"/>
                </w:tcPr>
                <w:p>
                  <w:pPr>
                    <w:widowControl/>
                    <w:adjustRightInd w:val="0"/>
                    <w:snapToGrid w:val="0"/>
                    <w:spacing w:line="360" w:lineRule="exact"/>
                    <w:jc w:val="center"/>
                    <w:rPr>
                      <w:kern w:val="0"/>
                      <w:sz w:val="21"/>
                      <w:szCs w:val="21"/>
                      <w:lang w:bidi="zh-CN"/>
                    </w:rPr>
                  </w:pPr>
                  <w:r>
                    <w:rPr>
                      <w:rFonts w:hint="eastAsia"/>
                      <w:kern w:val="0"/>
                      <w:sz w:val="21"/>
                      <w:szCs w:val="21"/>
                      <w:lang w:bidi="zh-CN"/>
                    </w:rPr>
                    <w:t>排气筒DA003</w:t>
                  </w:r>
                </w:p>
              </w:tc>
              <w:tc>
                <w:tcPr>
                  <w:tcW w:w="768" w:type="pct"/>
                  <w:vMerge w:val="continue"/>
                  <w:vAlign w:val="center"/>
                </w:tcPr>
                <w:p>
                  <w:pPr>
                    <w:widowControl/>
                    <w:adjustRightInd w:val="0"/>
                    <w:snapToGrid w:val="0"/>
                    <w:spacing w:line="360" w:lineRule="exact"/>
                    <w:jc w:val="center"/>
                    <w:rPr>
                      <w:kern w:val="0"/>
                      <w:sz w:val="21"/>
                      <w:szCs w:val="21"/>
                      <w:lang w:bidi="zh-CN"/>
                    </w:rPr>
                  </w:pPr>
                </w:p>
              </w:tc>
              <w:tc>
                <w:tcPr>
                  <w:tcW w:w="604" w:type="pct"/>
                  <w:vAlign w:val="center"/>
                </w:tcPr>
                <w:p>
                  <w:pPr>
                    <w:widowControl/>
                    <w:adjustRightInd w:val="0"/>
                    <w:snapToGrid w:val="0"/>
                    <w:spacing w:line="360" w:lineRule="exact"/>
                    <w:jc w:val="center"/>
                    <w:rPr>
                      <w:sz w:val="21"/>
                      <w:szCs w:val="21"/>
                    </w:rPr>
                  </w:pPr>
                  <w:r>
                    <w:rPr>
                      <w:rFonts w:hint="eastAsia"/>
                      <w:kern w:val="0"/>
                      <w:sz w:val="21"/>
                      <w:szCs w:val="20"/>
                    </w:rPr>
                    <w:t>VOCs</w:t>
                  </w:r>
                </w:p>
              </w:tc>
              <w:tc>
                <w:tcPr>
                  <w:tcW w:w="792" w:type="pct"/>
                  <w:vAlign w:val="center"/>
                </w:tcPr>
                <w:p>
                  <w:pPr>
                    <w:jc w:val="center"/>
                    <w:rPr>
                      <w:kern w:val="0"/>
                      <w:sz w:val="21"/>
                      <w:szCs w:val="21"/>
                    </w:rPr>
                  </w:pPr>
                  <w:r>
                    <w:rPr>
                      <w:rFonts w:hint="eastAsia"/>
                      <w:kern w:val="0"/>
                      <w:sz w:val="21"/>
                      <w:szCs w:val="20"/>
                    </w:rPr>
                    <w:t>9</w:t>
                  </w:r>
                  <w:r>
                    <w:rPr>
                      <w:kern w:val="0"/>
                      <w:sz w:val="21"/>
                      <w:szCs w:val="20"/>
                    </w:rPr>
                    <w:t>5</w:t>
                  </w:r>
                  <w:r>
                    <w:rPr>
                      <w:rFonts w:hint="eastAsia"/>
                      <w:kern w:val="0"/>
                      <w:sz w:val="21"/>
                      <w:szCs w:val="20"/>
                    </w:rPr>
                    <w:t>.</w:t>
                  </w:r>
                  <w:r>
                    <w:rPr>
                      <w:kern w:val="0"/>
                      <w:sz w:val="21"/>
                      <w:szCs w:val="20"/>
                    </w:rPr>
                    <w:t>41</w:t>
                  </w:r>
                </w:p>
              </w:tc>
              <w:tc>
                <w:tcPr>
                  <w:tcW w:w="625" w:type="pct"/>
                  <w:vAlign w:val="center"/>
                </w:tcPr>
                <w:p>
                  <w:pPr>
                    <w:jc w:val="center"/>
                    <w:rPr>
                      <w:kern w:val="0"/>
                      <w:sz w:val="21"/>
                      <w:szCs w:val="21"/>
                    </w:rPr>
                  </w:pPr>
                  <w:r>
                    <w:rPr>
                      <w:rFonts w:hint="eastAsia"/>
                      <w:kern w:val="0"/>
                      <w:sz w:val="21"/>
                      <w:szCs w:val="20"/>
                    </w:rPr>
                    <w:t>1.</w:t>
                  </w:r>
                  <w:r>
                    <w:rPr>
                      <w:kern w:val="0"/>
                      <w:sz w:val="21"/>
                      <w:szCs w:val="20"/>
                    </w:rPr>
                    <w:t>404</w:t>
                  </w:r>
                </w:p>
              </w:tc>
              <w:tc>
                <w:tcPr>
                  <w:tcW w:w="562" w:type="pct"/>
                  <w:vMerge w:val="continue"/>
                  <w:vAlign w:val="center"/>
                </w:tcPr>
                <w:p>
                  <w:pPr>
                    <w:widowControl/>
                    <w:adjustRightInd w:val="0"/>
                    <w:snapToGrid w:val="0"/>
                    <w:spacing w:line="360" w:lineRule="exact"/>
                    <w:jc w:val="center"/>
                    <w:rPr>
                      <w:kern w:val="0"/>
                      <w:sz w:val="21"/>
                      <w:szCs w:val="21"/>
                      <w:lang w:bidi="zh-CN"/>
                    </w:rPr>
                  </w:pPr>
                </w:p>
              </w:tc>
              <w:tc>
                <w:tcPr>
                  <w:tcW w:w="687" w:type="pct"/>
                  <w:vMerge w:val="continue"/>
                  <w:vAlign w:val="center"/>
                </w:tcPr>
                <w:p>
                  <w:pPr>
                    <w:widowControl/>
                    <w:adjustRightInd w:val="0"/>
                    <w:snapToGrid w:val="0"/>
                    <w:spacing w:line="360" w:lineRule="exact"/>
                    <w:jc w:val="center"/>
                    <w:rPr>
                      <w:kern w:val="0"/>
                      <w:sz w:val="21"/>
                      <w:szCs w:val="21"/>
                      <w:lang w:bidi="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46" w:type="pct"/>
                  <w:vMerge w:val="continue"/>
                  <w:vAlign w:val="center"/>
                </w:tcPr>
                <w:p>
                  <w:pPr>
                    <w:widowControl/>
                    <w:adjustRightInd w:val="0"/>
                    <w:snapToGrid w:val="0"/>
                    <w:spacing w:line="360" w:lineRule="exact"/>
                    <w:jc w:val="center"/>
                    <w:rPr>
                      <w:kern w:val="0"/>
                      <w:sz w:val="21"/>
                      <w:szCs w:val="21"/>
                      <w:lang w:bidi="zh-CN"/>
                    </w:rPr>
                  </w:pPr>
                </w:p>
              </w:tc>
              <w:tc>
                <w:tcPr>
                  <w:tcW w:w="516" w:type="pct"/>
                  <w:vMerge w:val="continue"/>
                  <w:vAlign w:val="center"/>
                </w:tcPr>
                <w:p>
                  <w:pPr>
                    <w:widowControl/>
                    <w:adjustRightInd w:val="0"/>
                    <w:snapToGrid w:val="0"/>
                    <w:spacing w:line="360" w:lineRule="exact"/>
                    <w:jc w:val="center"/>
                    <w:rPr>
                      <w:kern w:val="0"/>
                      <w:sz w:val="21"/>
                      <w:szCs w:val="21"/>
                      <w:lang w:bidi="zh-CN"/>
                    </w:rPr>
                  </w:pPr>
                </w:p>
              </w:tc>
              <w:tc>
                <w:tcPr>
                  <w:tcW w:w="768" w:type="pct"/>
                  <w:vMerge w:val="continue"/>
                  <w:vAlign w:val="center"/>
                </w:tcPr>
                <w:p>
                  <w:pPr>
                    <w:widowControl/>
                    <w:adjustRightInd w:val="0"/>
                    <w:snapToGrid w:val="0"/>
                    <w:spacing w:line="360" w:lineRule="exact"/>
                    <w:jc w:val="center"/>
                    <w:rPr>
                      <w:kern w:val="0"/>
                      <w:sz w:val="21"/>
                      <w:szCs w:val="21"/>
                      <w:lang w:bidi="zh-CN"/>
                    </w:rPr>
                  </w:pPr>
                </w:p>
              </w:tc>
              <w:tc>
                <w:tcPr>
                  <w:tcW w:w="604" w:type="pct"/>
                  <w:vAlign w:val="center"/>
                </w:tcPr>
                <w:p>
                  <w:pPr>
                    <w:widowControl/>
                    <w:adjustRightInd w:val="0"/>
                    <w:snapToGrid w:val="0"/>
                    <w:spacing w:line="360" w:lineRule="exact"/>
                    <w:jc w:val="center"/>
                    <w:rPr>
                      <w:sz w:val="21"/>
                      <w:szCs w:val="21"/>
                    </w:rPr>
                  </w:pPr>
                  <w:r>
                    <w:rPr>
                      <w:rFonts w:hint="eastAsia"/>
                      <w:kern w:val="0"/>
                      <w:sz w:val="21"/>
                      <w:szCs w:val="20"/>
                    </w:rPr>
                    <w:t>甲醛</w:t>
                  </w:r>
                </w:p>
              </w:tc>
              <w:tc>
                <w:tcPr>
                  <w:tcW w:w="792" w:type="pct"/>
                  <w:vAlign w:val="center"/>
                </w:tcPr>
                <w:p>
                  <w:pPr>
                    <w:jc w:val="center"/>
                    <w:rPr>
                      <w:kern w:val="0"/>
                      <w:sz w:val="21"/>
                      <w:szCs w:val="21"/>
                    </w:rPr>
                  </w:pPr>
                  <w:r>
                    <w:rPr>
                      <w:rFonts w:hint="eastAsia"/>
                      <w:kern w:val="0"/>
                      <w:sz w:val="21"/>
                      <w:szCs w:val="20"/>
                    </w:rPr>
                    <w:t>0.</w:t>
                  </w:r>
                  <w:r>
                    <w:rPr>
                      <w:kern w:val="0"/>
                      <w:sz w:val="21"/>
                      <w:szCs w:val="20"/>
                    </w:rPr>
                    <w:t>89</w:t>
                  </w:r>
                </w:p>
              </w:tc>
              <w:tc>
                <w:tcPr>
                  <w:tcW w:w="625" w:type="pct"/>
                  <w:vAlign w:val="center"/>
                </w:tcPr>
                <w:p>
                  <w:pPr>
                    <w:jc w:val="center"/>
                    <w:rPr>
                      <w:kern w:val="0"/>
                      <w:sz w:val="21"/>
                      <w:szCs w:val="21"/>
                    </w:rPr>
                  </w:pPr>
                  <w:r>
                    <w:rPr>
                      <w:rFonts w:hint="eastAsia"/>
                      <w:kern w:val="0"/>
                      <w:sz w:val="21"/>
                      <w:szCs w:val="20"/>
                    </w:rPr>
                    <w:t>0.</w:t>
                  </w:r>
                  <w:r>
                    <w:rPr>
                      <w:kern w:val="0"/>
                      <w:sz w:val="21"/>
                      <w:szCs w:val="20"/>
                    </w:rPr>
                    <w:t>0132</w:t>
                  </w:r>
                </w:p>
              </w:tc>
              <w:tc>
                <w:tcPr>
                  <w:tcW w:w="562" w:type="pct"/>
                  <w:vMerge w:val="continue"/>
                  <w:vAlign w:val="center"/>
                </w:tcPr>
                <w:p>
                  <w:pPr>
                    <w:widowControl/>
                    <w:adjustRightInd w:val="0"/>
                    <w:snapToGrid w:val="0"/>
                    <w:spacing w:line="360" w:lineRule="exact"/>
                    <w:jc w:val="center"/>
                    <w:rPr>
                      <w:kern w:val="0"/>
                      <w:sz w:val="21"/>
                      <w:szCs w:val="21"/>
                      <w:lang w:bidi="zh-CN"/>
                    </w:rPr>
                  </w:pPr>
                </w:p>
              </w:tc>
              <w:tc>
                <w:tcPr>
                  <w:tcW w:w="687" w:type="pct"/>
                  <w:vMerge w:val="continue"/>
                  <w:vAlign w:val="center"/>
                </w:tcPr>
                <w:p>
                  <w:pPr>
                    <w:widowControl/>
                    <w:adjustRightInd w:val="0"/>
                    <w:snapToGrid w:val="0"/>
                    <w:spacing w:line="360" w:lineRule="exact"/>
                    <w:jc w:val="center"/>
                    <w:rPr>
                      <w:kern w:val="0"/>
                      <w:sz w:val="21"/>
                      <w:szCs w:val="21"/>
                      <w:lang w:bidi="zh-CN"/>
                    </w:rPr>
                  </w:pPr>
                </w:p>
              </w:tc>
            </w:tr>
          </w:tbl>
          <w:p>
            <w:pPr>
              <w:adjustRightInd w:val="0"/>
              <w:snapToGrid w:val="0"/>
              <w:spacing w:before="120" w:beforeLines="50" w:line="360" w:lineRule="auto"/>
              <w:ind w:firstLine="482" w:firstLineChars="200"/>
              <w:rPr>
                <w:b/>
                <w:bCs/>
              </w:rPr>
            </w:pPr>
            <w:r>
              <w:rPr>
                <w:b/>
                <w:bCs/>
              </w:rPr>
              <w:t>7、项目废气污染物排放量核算</w:t>
            </w:r>
          </w:p>
          <w:p>
            <w:pPr>
              <w:pStyle w:val="100"/>
            </w:pPr>
            <w:r>
              <w:t>表</w:t>
            </w:r>
            <w:r>
              <w:rPr>
                <w:rFonts w:hint="eastAsia"/>
              </w:rPr>
              <w:t>4-</w:t>
            </w:r>
            <w:r>
              <w:t>9  大气污染物有组织排放量核算表</w:t>
            </w:r>
          </w:p>
          <w:tbl>
            <w:tblPr>
              <w:tblStyle w:val="50"/>
              <w:tblW w:w="832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262"/>
              <w:gridCol w:w="1157"/>
              <w:gridCol w:w="1734"/>
              <w:gridCol w:w="1734"/>
              <w:gridCol w:w="17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04" w:type="dxa"/>
                  <w:shd w:val="clear" w:color="auto" w:fill="auto"/>
                  <w:vAlign w:val="center"/>
                </w:tcPr>
                <w:p>
                  <w:pPr>
                    <w:adjustRightInd w:val="0"/>
                    <w:snapToGrid w:val="0"/>
                    <w:spacing w:line="360" w:lineRule="exact"/>
                    <w:jc w:val="center"/>
                    <w:rPr>
                      <w:rFonts w:eastAsiaTheme="minorEastAsia"/>
                      <w:b/>
                      <w:bCs/>
                      <w:snapToGrid w:val="0"/>
                      <w:kern w:val="0"/>
                      <w:sz w:val="21"/>
                      <w:szCs w:val="21"/>
                      <w:lang w:val="zh-CN"/>
                    </w:rPr>
                  </w:pPr>
                  <w:r>
                    <w:rPr>
                      <w:rFonts w:eastAsiaTheme="minorEastAsia"/>
                      <w:b/>
                      <w:bCs/>
                      <w:snapToGrid w:val="0"/>
                      <w:kern w:val="0"/>
                      <w:sz w:val="21"/>
                      <w:szCs w:val="21"/>
                      <w:lang w:val="zh-CN"/>
                    </w:rPr>
                    <w:t>序号</w:t>
                  </w:r>
                </w:p>
              </w:tc>
              <w:tc>
                <w:tcPr>
                  <w:tcW w:w="1262" w:type="dxa"/>
                  <w:shd w:val="clear" w:color="auto" w:fill="auto"/>
                  <w:vAlign w:val="center"/>
                </w:tcPr>
                <w:p>
                  <w:pPr>
                    <w:adjustRightInd w:val="0"/>
                    <w:snapToGrid w:val="0"/>
                    <w:spacing w:line="360" w:lineRule="exact"/>
                    <w:jc w:val="center"/>
                    <w:rPr>
                      <w:rFonts w:eastAsiaTheme="minorEastAsia"/>
                      <w:b/>
                      <w:bCs/>
                      <w:snapToGrid w:val="0"/>
                      <w:kern w:val="0"/>
                      <w:sz w:val="21"/>
                      <w:szCs w:val="21"/>
                      <w:lang w:val="zh-CN"/>
                    </w:rPr>
                  </w:pPr>
                  <w:r>
                    <w:rPr>
                      <w:rFonts w:eastAsiaTheme="minorEastAsia"/>
                      <w:b/>
                      <w:bCs/>
                      <w:snapToGrid w:val="0"/>
                      <w:kern w:val="0"/>
                      <w:sz w:val="21"/>
                      <w:szCs w:val="21"/>
                      <w:lang w:val="zh-CN"/>
                    </w:rPr>
                    <w:t>排放口编号</w:t>
                  </w:r>
                </w:p>
              </w:tc>
              <w:tc>
                <w:tcPr>
                  <w:tcW w:w="1157" w:type="dxa"/>
                  <w:shd w:val="clear" w:color="auto" w:fill="auto"/>
                  <w:vAlign w:val="center"/>
                </w:tcPr>
                <w:p>
                  <w:pPr>
                    <w:adjustRightInd w:val="0"/>
                    <w:snapToGrid w:val="0"/>
                    <w:spacing w:line="360" w:lineRule="exact"/>
                    <w:jc w:val="center"/>
                    <w:rPr>
                      <w:rFonts w:eastAsiaTheme="minorEastAsia"/>
                      <w:b/>
                      <w:bCs/>
                      <w:snapToGrid w:val="0"/>
                      <w:kern w:val="0"/>
                      <w:sz w:val="21"/>
                      <w:szCs w:val="21"/>
                      <w:lang w:val="zh-CN"/>
                    </w:rPr>
                  </w:pPr>
                  <w:r>
                    <w:rPr>
                      <w:rFonts w:eastAsiaTheme="minorEastAsia"/>
                      <w:b/>
                      <w:bCs/>
                      <w:snapToGrid w:val="0"/>
                      <w:kern w:val="0"/>
                      <w:sz w:val="21"/>
                      <w:szCs w:val="21"/>
                      <w:lang w:val="zh-CN"/>
                    </w:rPr>
                    <w:t>污染物</w:t>
                  </w:r>
                </w:p>
              </w:tc>
              <w:tc>
                <w:tcPr>
                  <w:tcW w:w="1734" w:type="dxa"/>
                  <w:shd w:val="clear" w:color="auto" w:fill="auto"/>
                  <w:vAlign w:val="center"/>
                </w:tcPr>
                <w:p>
                  <w:pPr>
                    <w:adjustRightInd w:val="0"/>
                    <w:snapToGrid w:val="0"/>
                    <w:spacing w:line="360" w:lineRule="exact"/>
                    <w:jc w:val="center"/>
                    <w:rPr>
                      <w:rFonts w:eastAsiaTheme="minorEastAsia"/>
                      <w:b/>
                      <w:bCs/>
                      <w:snapToGrid w:val="0"/>
                      <w:kern w:val="0"/>
                      <w:sz w:val="21"/>
                      <w:szCs w:val="21"/>
                      <w:lang w:val="zh-CN"/>
                    </w:rPr>
                  </w:pPr>
                  <w:r>
                    <w:rPr>
                      <w:rFonts w:eastAsiaTheme="minorEastAsia"/>
                      <w:b/>
                      <w:bCs/>
                      <w:snapToGrid w:val="0"/>
                      <w:kern w:val="0"/>
                      <w:sz w:val="21"/>
                      <w:szCs w:val="21"/>
                      <w:lang w:val="zh-CN"/>
                    </w:rPr>
                    <w:t>核算排放浓度/（mg/m</w:t>
                  </w:r>
                  <w:r>
                    <w:rPr>
                      <w:rFonts w:eastAsiaTheme="minorEastAsia"/>
                      <w:b/>
                      <w:bCs/>
                      <w:snapToGrid w:val="0"/>
                      <w:kern w:val="0"/>
                      <w:sz w:val="21"/>
                      <w:szCs w:val="21"/>
                      <w:vertAlign w:val="superscript"/>
                      <w:lang w:val="zh-CN"/>
                    </w:rPr>
                    <w:t>3</w:t>
                  </w:r>
                  <w:r>
                    <w:rPr>
                      <w:rFonts w:eastAsiaTheme="minorEastAsia"/>
                      <w:b/>
                      <w:bCs/>
                      <w:snapToGrid w:val="0"/>
                      <w:kern w:val="0"/>
                      <w:sz w:val="21"/>
                      <w:szCs w:val="21"/>
                      <w:lang w:val="zh-CN"/>
                    </w:rPr>
                    <w:t>）</w:t>
                  </w:r>
                </w:p>
              </w:tc>
              <w:tc>
                <w:tcPr>
                  <w:tcW w:w="1734" w:type="dxa"/>
                  <w:shd w:val="clear" w:color="auto" w:fill="auto"/>
                  <w:vAlign w:val="center"/>
                </w:tcPr>
                <w:p>
                  <w:pPr>
                    <w:adjustRightInd w:val="0"/>
                    <w:snapToGrid w:val="0"/>
                    <w:spacing w:line="360" w:lineRule="exact"/>
                    <w:jc w:val="center"/>
                    <w:rPr>
                      <w:rFonts w:eastAsiaTheme="minorEastAsia"/>
                      <w:b/>
                      <w:bCs/>
                      <w:snapToGrid w:val="0"/>
                      <w:kern w:val="0"/>
                      <w:sz w:val="21"/>
                      <w:szCs w:val="21"/>
                      <w:lang w:val="zh-CN"/>
                    </w:rPr>
                  </w:pPr>
                  <w:r>
                    <w:rPr>
                      <w:rFonts w:eastAsiaTheme="minorEastAsia"/>
                      <w:b/>
                      <w:bCs/>
                      <w:snapToGrid w:val="0"/>
                      <w:kern w:val="0"/>
                      <w:sz w:val="21"/>
                      <w:szCs w:val="21"/>
                      <w:lang w:val="zh-CN"/>
                    </w:rPr>
                    <w:t>核算排放速率/（kg/h）</w:t>
                  </w:r>
                </w:p>
              </w:tc>
              <w:tc>
                <w:tcPr>
                  <w:tcW w:w="1735" w:type="dxa"/>
                  <w:shd w:val="clear" w:color="auto" w:fill="auto"/>
                  <w:vAlign w:val="center"/>
                </w:tcPr>
                <w:p>
                  <w:pPr>
                    <w:adjustRightInd w:val="0"/>
                    <w:snapToGrid w:val="0"/>
                    <w:spacing w:line="360" w:lineRule="exact"/>
                    <w:jc w:val="center"/>
                    <w:rPr>
                      <w:rFonts w:eastAsiaTheme="minorEastAsia"/>
                      <w:b/>
                      <w:bCs/>
                      <w:snapToGrid w:val="0"/>
                      <w:kern w:val="0"/>
                      <w:sz w:val="21"/>
                      <w:szCs w:val="21"/>
                      <w:lang w:val="zh-CN"/>
                    </w:rPr>
                  </w:pPr>
                  <w:r>
                    <w:rPr>
                      <w:rFonts w:eastAsiaTheme="minorEastAsia"/>
                      <w:b/>
                      <w:bCs/>
                      <w:snapToGrid w:val="0"/>
                      <w:kern w:val="0"/>
                      <w:sz w:val="21"/>
                      <w:szCs w:val="21"/>
                      <w:lang w:val="zh-CN"/>
                    </w:rPr>
                    <w:t>核算年排放量/（t/a）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6" w:type="dxa"/>
                  <w:gridSpan w:val="6"/>
                  <w:shd w:val="clear" w:color="auto" w:fill="auto"/>
                  <w:vAlign w:val="center"/>
                </w:tcPr>
                <w:p>
                  <w:pPr>
                    <w:adjustRightInd w:val="0"/>
                    <w:snapToGrid w:val="0"/>
                    <w:spacing w:line="360" w:lineRule="exact"/>
                    <w:jc w:val="center"/>
                    <w:rPr>
                      <w:rFonts w:eastAsiaTheme="minorEastAsia"/>
                      <w:bCs/>
                      <w:snapToGrid w:val="0"/>
                      <w:kern w:val="0"/>
                      <w:sz w:val="21"/>
                      <w:szCs w:val="21"/>
                      <w:lang w:val="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4" w:type="dxa"/>
                  <w:vMerge w:val="restart"/>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eastAsiaTheme="minorEastAsia"/>
                      <w:bCs/>
                      <w:snapToGrid w:val="0"/>
                      <w:kern w:val="0"/>
                      <w:sz w:val="21"/>
                      <w:szCs w:val="21"/>
                    </w:rPr>
                    <w:t>1</w:t>
                  </w:r>
                </w:p>
              </w:tc>
              <w:tc>
                <w:tcPr>
                  <w:tcW w:w="1262" w:type="dxa"/>
                  <w:vMerge w:val="restart"/>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hint="eastAsia" w:eastAsiaTheme="minorEastAsia"/>
                      <w:bCs/>
                      <w:snapToGrid w:val="0"/>
                      <w:kern w:val="0"/>
                      <w:sz w:val="21"/>
                      <w:szCs w:val="21"/>
                    </w:rPr>
                    <w:t>DA00</w:t>
                  </w:r>
                  <w:r>
                    <w:rPr>
                      <w:rFonts w:eastAsiaTheme="minorEastAsia"/>
                      <w:bCs/>
                      <w:snapToGrid w:val="0"/>
                      <w:kern w:val="0"/>
                      <w:sz w:val="21"/>
                      <w:szCs w:val="21"/>
                    </w:rPr>
                    <w:t>2</w:t>
                  </w:r>
                </w:p>
              </w:tc>
              <w:tc>
                <w:tcPr>
                  <w:tcW w:w="1157" w:type="dxa"/>
                  <w:vAlign w:val="center"/>
                </w:tcPr>
                <w:p>
                  <w:pPr>
                    <w:adjustRightInd w:val="0"/>
                    <w:snapToGrid w:val="0"/>
                    <w:spacing w:line="360" w:lineRule="exact"/>
                    <w:jc w:val="center"/>
                    <w:rPr>
                      <w:rFonts w:eastAsiaTheme="minorEastAsia"/>
                      <w:bCs/>
                      <w:snapToGrid w:val="0"/>
                      <w:kern w:val="0"/>
                      <w:sz w:val="21"/>
                      <w:szCs w:val="21"/>
                    </w:rPr>
                  </w:pPr>
                  <w:r>
                    <w:rPr>
                      <w:rFonts w:hint="eastAsia"/>
                      <w:sz w:val="21"/>
                      <w:szCs w:val="21"/>
                    </w:rPr>
                    <w:t>颗粒物</w:t>
                  </w:r>
                </w:p>
              </w:tc>
              <w:tc>
                <w:tcPr>
                  <w:tcW w:w="1734" w:type="dxa"/>
                  <w:vAlign w:val="center"/>
                </w:tcPr>
                <w:p>
                  <w:pPr>
                    <w:pStyle w:val="77"/>
                    <w:spacing w:before="24" w:after="24"/>
                    <w:rPr>
                      <w:rFonts w:ascii="Times New Roman"/>
                      <w:sz w:val="21"/>
                      <w:szCs w:val="21"/>
                    </w:rPr>
                  </w:pPr>
                  <w:r>
                    <w:rPr>
                      <w:rFonts w:ascii="Times New Roman"/>
                      <w:sz w:val="21"/>
                    </w:rPr>
                    <w:t>7.42</w:t>
                  </w:r>
                </w:p>
              </w:tc>
              <w:tc>
                <w:tcPr>
                  <w:tcW w:w="1734" w:type="dxa"/>
                  <w:vAlign w:val="center"/>
                </w:tcPr>
                <w:p>
                  <w:pPr>
                    <w:pStyle w:val="77"/>
                    <w:spacing w:before="24" w:after="24"/>
                    <w:rPr>
                      <w:rFonts w:ascii="Times New Roman"/>
                      <w:sz w:val="21"/>
                      <w:szCs w:val="21"/>
                    </w:rPr>
                  </w:pPr>
                  <w:r>
                    <w:rPr>
                      <w:rFonts w:ascii="Times New Roman"/>
                      <w:sz w:val="21"/>
                    </w:rPr>
                    <w:t>0.0574</w:t>
                  </w:r>
                </w:p>
              </w:tc>
              <w:tc>
                <w:tcPr>
                  <w:tcW w:w="1735" w:type="dxa"/>
                  <w:vAlign w:val="center"/>
                </w:tcPr>
                <w:p>
                  <w:pPr>
                    <w:pStyle w:val="77"/>
                    <w:spacing w:before="24" w:after="24"/>
                    <w:rPr>
                      <w:rFonts w:ascii="Times New Roman"/>
                      <w:sz w:val="21"/>
                      <w:szCs w:val="21"/>
                    </w:rPr>
                  </w:pPr>
                  <w:r>
                    <w:rPr>
                      <w:rFonts w:ascii="Times New Roman"/>
                      <w:sz w:val="21"/>
                    </w:rPr>
                    <w:t>0.1376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4" w:type="dxa"/>
                  <w:vMerge w:val="continue"/>
                  <w:shd w:val="clear" w:color="auto" w:fill="auto"/>
                  <w:vAlign w:val="center"/>
                </w:tcPr>
                <w:p>
                  <w:pPr>
                    <w:adjustRightInd w:val="0"/>
                    <w:snapToGrid w:val="0"/>
                    <w:spacing w:line="360" w:lineRule="exact"/>
                    <w:jc w:val="center"/>
                    <w:rPr>
                      <w:rFonts w:eastAsiaTheme="minorEastAsia"/>
                      <w:bCs/>
                      <w:snapToGrid w:val="0"/>
                      <w:kern w:val="0"/>
                      <w:sz w:val="21"/>
                      <w:szCs w:val="21"/>
                    </w:rPr>
                  </w:pPr>
                </w:p>
              </w:tc>
              <w:tc>
                <w:tcPr>
                  <w:tcW w:w="1262" w:type="dxa"/>
                  <w:vMerge w:val="continue"/>
                  <w:shd w:val="clear" w:color="auto" w:fill="auto"/>
                  <w:vAlign w:val="center"/>
                </w:tcPr>
                <w:p>
                  <w:pPr>
                    <w:adjustRightInd w:val="0"/>
                    <w:snapToGrid w:val="0"/>
                    <w:spacing w:line="360" w:lineRule="exact"/>
                    <w:jc w:val="center"/>
                    <w:rPr>
                      <w:rFonts w:eastAsiaTheme="minorEastAsia"/>
                      <w:bCs/>
                      <w:snapToGrid w:val="0"/>
                      <w:kern w:val="0"/>
                      <w:sz w:val="21"/>
                      <w:szCs w:val="21"/>
                    </w:rPr>
                  </w:pPr>
                </w:p>
              </w:tc>
              <w:tc>
                <w:tcPr>
                  <w:tcW w:w="1157" w:type="dxa"/>
                  <w:vAlign w:val="center"/>
                </w:tcPr>
                <w:p>
                  <w:pPr>
                    <w:adjustRightInd w:val="0"/>
                    <w:snapToGrid w:val="0"/>
                    <w:spacing w:line="360" w:lineRule="exact"/>
                    <w:jc w:val="center"/>
                    <w:rPr>
                      <w:rFonts w:eastAsiaTheme="minorEastAsia"/>
                      <w:bCs/>
                      <w:snapToGrid w:val="0"/>
                      <w:kern w:val="0"/>
                      <w:sz w:val="21"/>
                      <w:szCs w:val="21"/>
                    </w:rPr>
                  </w:pPr>
                  <w:r>
                    <w:rPr>
                      <w:rFonts w:hint="eastAsia"/>
                      <w:sz w:val="21"/>
                      <w:szCs w:val="21"/>
                    </w:rPr>
                    <w:t>VOCs</w:t>
                  </w:r>
                </w:p>
              </w:tc>
              <w:tc>
                <w:tcPr>
                  <w:tcW w:w="1734" w:type="dxa"/>
                  <w:vAlign w:val="center"/>
                </w:tcPr>
                <w:p>
                  <w:pPr>
                    <w:pStyle w:val="77"/>
                    <w:spacing w:before="24" w:after="24"/>
                    <w:rPr>
                      <w:rFonts w:ascii="Times New Roman"/>
                      <w:sz w:val="21"/>
                      <w:szCs w:val="21"/>
                    </w:rPr>
                  </w:pPr>
                  <w:r>
                    <w:rPr>
                      <w:rFonts w:ascii="Times New Roman"/>
                      <w:sz w:val="21"/>
                    </w:rPr>
                    <w:t>1.733</w:t>
                  </w:r>
                </w:p>
              </w:tc>
              <w:tc>
                <w:tcPr>
                  <w:tcW w:w="1734" w:type="dxa"/>
                  <w:vAlign w:val="center"/>
                </w:tcPr>
                <w:p>
                  <w:pPr>
                    <w:pStyle w:val="77"/>
                    <w:spacing w:before="24" w:after="24"/>
                    <w:rPr>
                      <w:rFonts w:ascii="Times New Roman"/>
                      <w:sz w:val="21"/>
                      <w:szCs w:val="21"/>
                    </w:rPr>
                  </w:pPr>
                  <w:r>
                    <w:rPr>
                      <w:rFonts w:ascii="Times New Roman"/>
                      <w:sz w:val="21"/>
                    </w:rPr>
                    <w:t>0.0134</w:t>
                  </w:r>
                </w:p>
              </w:tc>
              <w:tc>
                <w:tcPr>
                  <w:tcW w:w="1735" w:type="dxa"/>
                  <w:vAlign w:val="center"/>
                </w:tcPr>
                <w:p>
                  <w:pPr>
                    <w:pStyle w:val="77"/>
                    <w:spacing w:before="24" w:after="24"/>
                    <w:rPr>
                      <w:rFonts w:ascii="Times New Roman"/>
                      <w:sz w:val="21"/>
                      <w:szCs w:val="21"/>
                    </w:rPr>
                  </w:pPr>
                  <w:r>
                    <w:rPr>
                      <w:rFonts w:ascii="Times New Roman"/>
                      <w:sz w:val="21"/>
                    </w:rPr>
                    <w:t>0.032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4" w:type="dxa"/>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hint="eastAsia" w:eastAsiaTheme="minorEastAsia"/>
                      <w:bCs/>
                      <w:snapToGrid w:val="0"/>
                      <w:kern w:val="0"/>
                      <w:sz w:val="21"/>
                      <w:szCs w:val="21"/>
                    </w:rPr>
                    <w:t>2</w:t>
                  </w:r>
                </w:p>
              </w:tc>
              <w:tc>
                <w:tcPr>
                  <w:tcW w:w="1262" w:type="dxa"/>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hint="eastAsia" w:eastAsiaTheme="minorEastAsia"/>
                      <w:bCs/>
                      <w:snapToGrid w:val="0"/>
                      <w:kern w:val="0"/>
                      <w:sz w:val="21"/>
                      <w:szCs w:val="21"/>
                    </w:rPr>
                    <w:t>DA004</w:t>
                  </w:r>
                </w:p>
              </w:tc>
              <w:tc>
                <w:tcPr>
                  <w:tcW w:w="1157" w:type="dxa"/>
                  <w:vAlign w:val="center"/>
                </w:tcPr>
                <w:p>
                  <w:pPr>
                    <w:adjustRightInd w:val="0"/>
                    <w:snapToGrid w:val="0"/>
                    <w:spacing w:line="360" w:lineRule="exact"/>
                    <w:jc w:val="center"/>
                    <w:rPr>
                      <w:sz w:val="21"/>
                      <w:szCs w:val="21"/>
                    </w:rPr>
                  </w:pPr>
                  <w:r>
                    <w:rPr>
                      <w:rFonts w:hint="eastAsia"/>
                      <w:sz w:val="21"/>
                      <w:szCs w:val="21"/>
                    </w:rPr>
                    <w:t>颗粒物</w:t>
                  </w:r>
                </w:p>
              </w:tc>
              <w:tc>
                <w:tcPr>
                  <w:tcW w:w="1734" w:type="dxa"/>
                  <w:vAlign w:val="center"/>
                </w:tcPr>
                <w:p>
                  <w:pPr>
                    <w:pStyle w:val="77"/>
                    <w:spacing w:before="24" w:after="24"/>
                    <w:rPr>
                      <w:rFonts w:ascii="Times New Roman"/>
                      <w:sz w:val="21"/>
                    </w:rPr>
                  </w:pPr>
                  <w:r>
                    <w:rPr>
                      <w:rFonts w:ascii="Times New Roman"/>
                      <w:sz w:val="21"/>
                    </w:rPr>
                    <w:t>20.21</w:t>
                  </w:r>
                </w:p>
              </w:tc>
              <w:tc>
                <w:tcPr>
                  <w:tcW w:w="1734" w:type="dxa"/>
                  <w:vAlign w:val="center"/>
                </w:tcPr>
                <w:p>
                  <w:pPr>
                    <w:pStyle w:val="77"/>
                    <w:spacing w:before="24" w:after="24"/>
                    <w:rPr>
                      <w:rFonts w:ascii="Times New Roman"/>
                      <w:sz w:val="21"/>
                    </w:rPr>
                  </w:pPr>
                  <w:r>
                    <w:rPr>
                      <w:rFonts w:ascii="Times New Roman"/>
                      <w:sz w:val="21"/>
                    </w:rPr>
                    <w:t>1.299</w:t>
                  </w:r>
                </w:p>
              </w:tc>
              <w:tc>
                <w:tcPr>
                  <w:tcW w:w="1735" w:type="dxa"/>
                  <w:vAlign w:val="center"/>
                </w:tcPr>
                <w:p>
                  <w:pPr>
                    <w:pStyle w:val="77"/>
                    <w:spacing w:before="24" w:after="24"/>
                    <w:rPr>
                      <w:rFonts w:ascii="Times New Roman"/>
                      <w:sz w:val="21"/>
                    </w:rPr>
                  </w:pPr>
                  <w:r>
                    <w:rPr>
                      <w:rFonts w:ascii="Times New Roman"/>
                      <w:sz w:val="21"/>
                    </w:rPr>
                    <w:t>3.1176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4" w:type="dxa"/>
                  <w:vMerge w:val="restart"/>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hint="eastAsia" w:eastAsiaTheme="minorEastAsia"/>
                      <w:bCs/>
                      <w:snapToGrid w:val="0"/>
                      <w:kern w:val="0"/>
                      <w:sz w:val="21"/>
                      <w:szCs w:val="21"/>
                    </w:rPr>
                    <w:t>3</w:t>
                  </w:r>
                </w:p>
              </w:tc>
              <w:tc>
                <w:tcPr>
                  <w:tcW w:w="1262" w:type="dxa"/>
                  <w:vMerge w:val="restart"/>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hint="eastAsia" w:eastAsiaTheme="minorEastAsia"/>
                      <w:bCs/>
                      <w:snapToGrid w:val="0"/>
                      <w:kern w:val="0"/>
                      <w:sz w:val="21"/>
                      <w:szCs w:val="21"/>
                    </w:rPr>
                    <w:t>DA</w:t>
                  </w:r>
                  <w:r>
                    <w:rPr>
                      <w:rFonts w:eastAsiaTheme="minorEastAsia"/>
                      <w:bCs/>
                      <w:snapToGrid w:val="0"/>
                      <w:kern w:val="0"/>
                      <w:sz w:val="21"/>
                      <w:szCs w:val="21"/>
                    </w:rPr>
                    <w:t>005</w:t>
                  </w:r>
                </w:p>
              </w:tc>
              <w:tc>
                <w:tcPr>
                  <w:tcW w:w="1157" w:type="dxa"/>
                  <w:vAlign w:val="center"/>
                </w:tcPr>
                <w:p>
                  <w:pPr>
                    <w:adjustRightInd w:val="0"/>
                    <w:snapToGrid w:val="0"/>
                    <w:spacing w:line="360" w:lineRule="exact"/>
                    <w:jc w:val="center"/>
                    <w:rPr>
                      <w:sz w:val="21"/>
                      <w:szCs w:val="21"/>
                    </w:rPr>
                  </w:pPr>
                  <w:r>
                    <w:rPr>
                      <w:rFonts w:hint="eastAsia"/>
                      <w:sz w:val="21"/>
                      <w:szCs w:val="21"/>
                    </w:rPr>
                    <w:t>VOCs</w:t>
                  </w:r>
                </w:p>
              </w:tc>
              <w:tc>
                <w:tcPr>
                  <w:tcW w:w="1734" w:type="dxa"/>
                  <w:vAlign w:val="center"/>
                </w:tcPr>
                <w:p>
                  <w:pPr>
                    <w:pStyle w:val="77"/>
                    <w:spacing w:before="24" w:after="24"/>
                    <w:rPr>
                      <w:rFonts w:ascii="Times New Roman"/>
                      <w:sz w:val="21"/>
                    </w:rPr>
                  </w:pPr>
                  <w:r>
                    <w:rPr>
                      <w:rFonts w:ascii="Times New Roman"/>
                      <w:sz w:val="21"/>
                    </w:rPr>
                    <w:t>14.34</w:t>
                  </w:r>
                </w:p>
              </w:tc>
              <w:tc>
                <w:tcPr>
                  <w:tcW w:w="1734" w:type="dxa"/>
                  <w:vAlign w:val="center"/>
                </w:tcPr>
                <w:p>
                  <w:pPr>
                    <w:pStyle w:val="77"/>
                    <w:spacing w:before="24" w:after="24"/>
                    <w:rPr>
                      <w:rFonts w:ascii="Times New Roman"/>
                      <w:sz w:val="21"/>
                    </w:rPr>
                  </w:pPr>
                  <w:r>
                    <w:rPr>
                      <w:rFonts w:ascii="Times New Roman"/>
                      <w:sz w:val="21"/>
                    </w:rPr>
                    <w:t>0.211</w:t>
                  </w:r>
                </w:p>
              </w:tc>
              <w:tc>
                <w:tcPr>
                  <w:tcW w:w="1735" w:type="dxa"/>
                  <w:vAlign w:val="center"/>
                </w:tcPr>
                <w:p>
                  <w:pPr>
                    <w:pStyle w:val="77"/>
                    <w:spacing w:before="24" w:after="24"/>
                    <w:rPr>
                      <w:rFonts w:ascii="Times New Roman"/>
                      <w:sz w:val="21"/>
                    </w:rPr>
                  </w:pPr>
                  <w:r>
                    <w:rPr>
                      <w:rFonts w:ascii="Times New Roman"/>
                      <w:sz w:val="21"/>
                    </w:rPr>
                    <w:t>0.5054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04" w:type="dxa"/>
                  <w:vMerge w:val="continue"/>
                  <w:shd w:val="clear" w:color="auto" w:fill="auto"/>
                  <w:vAlign w:val="center"/>
                </w:tcPr>
                <w:p>
                  <w:pPr>
                    <w:adjustRightInd w:val="0"/>
                    <w:snapToGrid w:val="0"/>
                    <w:spacing w:line="360" w:lineRule="exact"/>
                    <w:jc w:val="center"/>
                    <w:rPr>
                      <w:rFonts w:eastAsiaTheme="minorEastAsia"/>
                      <w:bCs/>
                      <w:snapToGrid w:val="0"/>
                      <w:kern w:val="0"/>
                      <w:sz w:val="21"/>
                      <w:szCs w:val="21"/>
                    </w:rPr>
                  </w:pPr>
                </w:p>
              </w:tc>
              <w:tc>
                <w:tcPr>
                  <w:tcW w:w="1262" w:type="dxa"/>
                  <w:vMerge w:val="continue"/>
                  <w:shd w:val="clear" w:color="auto" w:fill="auto"/>
                  <w:vAlign w:val="center"/>
                </w:tcPr>
                <w:p>
                  <w:pPr>
                    <w:adjustRightInd w:val="0"/>
                    <w:snapToGrid w:val="0"/>
                    <w:spacing w:line="360" w:lineRule="exact"/>
                    <w:jc w:val="center"/>
                    <w:rPr>
                      <w:rFonts w:eastAsiaTheme="minorEastAsia"/>
                      <w:bCs/>
                      <w:snapToGrid w:val="0"/>
                      <w:kern w:val="0"/>
                      <w:sz w:val="21"/>
                      <w:szCs w:val="21"/>
                    </w:rPr>
                  </w:pPr>
                </w:p>
              </w:tc>
              <w:tc>
                <w:tcPr>
                  <w:tcW w:w="1157" w:type="dxa"/>
                  <w:vAlign w:val="center"/>
                </w:tcPr>
                <w:p>
                  <w:pPr>
                    <w:adjustRightInd w:val="0"/>
                    <w:snapToGrid w:val="0"/>
                    <w:spacing w:line="360" w:lineRule="exact"/>
                    <w:jc w:val="center"/>
                    <w:rPr>
                      <w:sz w:val="21"/>
                      <w:szCs w:val="21"/>
                    </w:rPr>
                  </w:pPr>
                  <w:r>
                    <w:rPr>
                      <w:rFonts w:hint="eastAsia"/>
                      <w:sz w:val="21"/>
                      <w:szCs w:val="21"/>
                    </w:rPr>
                    <w:t>甲醛</w:t>
                  </w:r>
                </w:p>
              </w:tc>
              <w:tc>
                <w:tcPr>
                  <w:tcW w:w="1734" w:type="dxa"/>
                  <w:vAlign w:val="center"/>
                </w:tcPr>
                <w:p>
                  <w:pPr>
                    <w:pStyle w:val="77"/>
                    <w:spacing w:before="24" w:after="24"/>
                    <w:rPr>
                      <w:rFonts w:ascii="Times New Roman"/>
                      <w:sz w:val="21"/>
                    </w:rPr>
                  </w:pPr>
                  <w:r>
                    <w:rPr>
                      <w:rFonts w:ascii="Times New Roman"/>
                      <w:sz w:val="21"/>
                    </w:rPr>
                    <w:t>0.134</w:t>
                  </w:r>
                </w:p>
              </w:tc>
              <w:tc>
                <w:tcPr>
                  <w:tcW w:w="1734" w:type="dxa"/>
                  <w:vAlign w:val="center"/>
                </w:tcPr>
                <w:p>
                  <w:pPr>
                    <w:pStyle w:val="77"/>
                    <w:spacing w:before="24" w:after="24"/>
                    <w:rPr>
                      <w:rFonts w:ascii="Times New Roman"/>
                      <w:sz w:val="21"/>
                    </w:rPr>
                  </w:pPr>
                  <w:r>
                    <w:rPr>
                      <w:rFonts w:ascii="Times New Roman"/>
                      <w:sz w:val="21"/>
                    </w:rPr>
                    <w:t>0.00197</w:t>
                  </w:r>
                </w:p>
              </w:tc>
              <w:tc>
                <w:tcPr>
                  <w:tcW w:w="1735" w:type="dxa"/>
                  <w:vAlign w:val="center"/>
                </w:tcPr>
                <w:p>
                  <w:pPr>
                    <w:pStyle w:val="77"/>
                    <w:spacing w:before="24" w:after="24"/>
                    <w:rPr>
                      <w:rFonts w:ascii="Times New Roman"/>
                      <w:sz w:val="21"/>
                    </w:rPr>
                  </w:pPr>
                  <w:r>
                    <w:rPr>
                      <w:rFonts w:ascii="Times New Roman"/>
                      <w:sz w:val="21"/>
                    </w:rPr>
                    <w:t>0.004725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66" w:type="dxa"/>
                  <w:gridSpan w:val="2"/>
                  <w:vMerge w:val="restart"/>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eastAsiaTheme="minorEastAsia"/>
                      <w:bCs/>
                      <w:snapToGrid w:val="0"/>
                      <w:kern w:val="0"/>
                      <w:sz w:val="21"/>
                      <w:szCs w:val="21"/>
                      <w:lang w:val="zh-CN"/>
                    </w:rPr>
                    <w:t>排放口合计</w:t>
                  </w:r>
                </w:p>
              </w:tc>
              <w:tc>
                <w:tcPr>
                  <w:tcW w:w="4625" w:type="dxa"/>
                  <w:gridSpan w:val="3"/>
                  <w:shd w:val="clear" w:color="auto" w:fill="auto"/>
                  <w:vAlign w:val="center"/>
                </w:tcPr>
                <w:p>
                  <w:pPr>
                    <w:adjustRightInd w:val="0"/>
                    <w:snapToGrid w:val="0"/>
                    <w:spacing w:line="360" w:lineRule="exact"/>
                    <w:jc w:val="center"/>
                    <w:rPr>
                      <w:rFonts w:eastAsiaTheme="minorEastAsia"/>
                      <w:bCs/>
                      <w:snapToGrid w:val="0"/>
                      <w:kern w:val="0"/>
                      <w:sz w:val="21"/>
                      <w:szCs w:val="21"/>
                    </w:rPr>
                  </w:pPr>
                  <w:r>
                    <w:rPr>
                      <w:rFonts w:hint="eastAsia" w:eastAsiaTheme="minorEastAsia"/>
                      <w:bCs/>
                      <w:snapToGrid w:val="0"/>
                      <w:kern w:val="0"/>
                      <w:sz w:val="21"/>
                      <w:szCs w:val="21"/>
                    </w:rPr>
                    <w:t>颗粒物</w:t>
                  </w:r>
                </w:p>
              </w:tc>
              <w:tc>
                <w:tcPr>
                  <w:tcW w:w="1735" w:type="dxa"/>
                  <w:shd w:val="clear" w:color="auto" w:fill="auto"/>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3.</w:t>
                  </w:r>
                  <w:r>
                    <w:rPr>
                      <w:rFonts w:eastAsiaTheme="minorEastAsia"/>
                      <w:sz w:val="21"/>
                      <w:szCs w:val="21"/>
                    </w:rPr>
                    <w:t>2552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966" w:type="dxa"/>
                  <w:gridSpan w:val="2"/>
                  <w:vMerge w:val="continue"/>
                  <w:shd w:val="clear" w:color="auto" w:fill="auto"/>
                  <w:vAlign w:val="center"/>
                </w:tcPr>
                <w:p>
                  <w:pPr>
                    <w:adjustRightInd w:val="0"/>
                    <w:snapToGrid w:val="0"/>
                    <w:spacing w:line="360" w:lineRule="exact"/>
                    <w:jc w:val="center"/>
                    <w:rPr>
                      <w:rFonts w:eastAsiaTheme="minorEastAsia"/>
                      <w:bCs/>
                      <w:snapToGrid w:val="0"/>
                      <w:kern w:val="0"/>
                      <w:sz w:val="21"/>
                      <w:szCs w:val="21"/>
                    </w:rPr>
                  </w:pPr>
                </w:p>
              </w:tc>
              <w:tc>
                <w:tcPr>
                  <w:tcW w:w="4625" w:type="dxa"/>
                  <w:gridSpan w:val="3"/>
                  <w:vAlign w:val="center"/>
                </w:tcPr>
                <w:p>
                  <w:pPr>
                    <w:adjustRightInd w:val="0"/>
                    <w:snapToGrid w:val="0"/>
                    <w:spacing w:line="360" w:lineRule="exact"/>
                    <w:jc w:val="center"/>
                    <w:rPr>
                      <w:rFonts w:eastAsiaTheme="minorEastAsia"/>
                      <w:bCs/>
                      <w:snapToGrid w:val="0"/>
                      <w:kern w:val="0"/>
                      <w:sz w:val="21"/>
                      <w:szCs w:val="21"/>
                    </w:rPr>
                  </w:pPr>
                  <w:r>
                    <w:rPr>
                      <w:rFonts w:hint="eastAsia"/>
                      <w:sz w:val="21"/>
                      <w:szCs w:val="21"/>
                    </w:rPr>
                    <w:t>VOCs</w:t>
                  </w:r>
                </w:p>
              </w:tc>
              <w:tc>
                <w:tcPr>
                  <w:tcW w:w="1735" w:type="dxa"/>
                  <w:vAlign w:val="center"/>
                </w:tcPr>
                <w:p>
                  <w:pPr>
                    <w:adjustRightInd w:val="0"/>
                    <w:snapToGrid w:val="0"/>
                    <w:spacing w:line="360" w:lineRule="exact"/>
                    <w:jc w:val="center"/>
                    <w:rPr>
                      <w:rFonts w:eastAsiaTheme="minorEastAsia"/>
                      <w:sz w:val="21"/>
                      <w:szCs w:val="21"/>
                    </w:rPr>
                  </w:pPr>
                  <w:r>
                    <w:rPr>
                      <w:rFonts w:hint="eastAsia" w:eastAsiaTheme="minorEastAsia"/>
                      <w:sz w:val="21"/>
                      <w:szCs w:val="21"/>
                    </w:rPr>
                    <w:t>0.</w:t>
                  </w:r>
                  <w:r>
                    <w:rPr>
                      <w:rFonts w:eastAsiaTheme="minorEastAsia"/>
                      <w:sz w:val="21"/>
                      <w:szCs w:val="21"/>
                    </w:rPr>
                    <w:t>5374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56" w:hRule="atLeast"/>
                <w:jc w:val="center"/>
              </w:trPr>
              <w:tc>
                <w:tcPr>
                  <w:tcW w:w="1966" w:type="dxa"/>
                  <w:gridSpan w:val="2"/>
                  <w:vMerge w:val="continue"/>
                  <w:shd w:val="clear" w:color="auto" w:fill="auto"/>
                  <w:vAlign w:val="center"/>
                </w:tcPr>
                <w:p>
                  <w:pPr>
                    <w:adjustRightInd w:val="0"/>
                    <w:snapToGrid w:val="0"/>
                    <w:spacing w:line="360" w:lineRule="exact"/>
                    <w:jc w:val="center"/>
                    <w:rPr>
                      <w:rFonts w:eastAsiaTheme="minorEastAsia"/>
                      <w:bCs/>
                      <w:snapToGrid w:val="0"/>
                      <w:kern w:val="0"/>
                      <w:sz w:val="21"/>
                      <w:szCs w:val="21"/>
                    </w:rPr>
                  </w:pPr>
                </w:p>
              </w:tc>
              <w:tc>
                <w:tcPr>
                  <w:tcW w:w="4625" w:type="dxa"/>
                  <w:gridSpan w:val="3"/>
                  <w:vAlign w:val="center"/>
                </w:tcPr>
                <w:p>
                  <w:pPr>
                    <w:adjustRightInd w:val="0"/>
                    <w:snapToGrid w:val="0"/>
                    <w:spacing w:line="360" w:lineRule="exact"/>
                    <w:jc w:val="center"/>
                    <w:rPr>
                      <w:rFonts w:eastAsiaTheme="minorEastAsia"/>
                      <w:bCs/>
                      <w:snapToGrid w:val="0"/>
                      <w:kern w:val="0"/>
                      <w:sz w:val="21"/>
                      <w:szCs w:val="21"/>
                    </w:rPr>
                  </w:pPr>
                  <w:r>
                    <w:rPr>
                      <w:rFonts w:hint="eastAsia"/>
                      <w:sz w:val="21"/>
                      <w:szCs w:val="21"/>
                    </w:rPr>
                    <w:t>甲醛</w:t>
                  </w:r>
                </w:p>
              </w:tc>
              <w:tc>
                <w:tcPr>
                  <w:tcW w:w="1735" w:type="dxa"/>
                  <w:vAlign w:val="center"/>
                </w:tcPr>
                <w:p>
                  <w:pPr>
                    <w:adjustRightInd w:val="0"/>
                    <w:snapToGrid w:val="0"/>
                    <w:spacing w:line="360" w:lineRule="exact"/>
                    <w:jc w:val="center"/>
                    <w:rPr>
                      <w:rFonts w:eastAsiaTheme="minorEastAsia"/>
                      <w:sz w:val="21"/>
                      <w:szCs w:val="21"/>
                    </w:rPr>
                  </w:pPr>
                  <w:r>
                    <w:rPr>
                      <w:kern w:val="0"/>
                      <w:sz w:val="21"/>
                      <w:szCs w:val="20"/>
                    </w:rPr>
                    <w:t>0.004725</w:t>
                  </w:r>
                </w:p>
              </w:tc>
            </w:tr>
          </w:tbl>
          <w:p>
            <w:pPr>
              <w:pStyle w:val="100"/>
              <w:spacing w:before="120" w:beforeLines="50"/>
            </w:pPr>
            <w:r>
              <w:t>表</w:t>
            </w:r>
            <w:r>
              <w:rPr>
                <w:rFonts w:hint="eastAsia"/>
              </w:rPr>
              <w:t>4-</w:t>
            </w:r>
            <w:r>
              <w:t>10  大气污染物无组织排放量核算表</w:t>
            </w:r>
          </w:p>
          <w:tbl>
            <w:tblPr>
              <w:tblStyle w:val="50"/>
              <w:tblW w:w="838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9"/>
              <w:gridCol w:w="964"/>
              <w:gridCol w:w="992"/>
              <w:gridCol w:w="993"/>
              <w:gridCol w:w="2948"/>
              <w:gridCol w:w="20"/>
              <w:gridCol w:w="1129"/>
              <w:gridCol w:w="9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9" w:type="dxa"/>
                  <w:vMerge w:val="restart"/>
                  <w:shd w:val="clear" w:color="auto" w:fill="auto"/>
                  <w:vAlign w:val="center"/>
                </w:tcPr>
                <w:p>
                  <w:pPr>
                    <w:pStyle w:val="178"/>
                    <w:rPr>
                      <w:snapToGrid w:val="0"/>
                      <w:color w:val="auto"/>
                    </w:rPr>
                  </w:pPr>
                  <w:r>
                    <w:rPr>
                      <w:snapToGrid w:val="0"/>
                      <w:color w:val="auto"/>
                      <w:lang w:val="zh-CN"/>
                    </w:rPr>
                    <w:t>序号</w:t>
                  </w:r>
                </w:p>
              </w:tc>
              <w:tc>
                <w:tcPr>
                  <w:tcW w:w="964" w:type="dxa"/>
                  <w:vMerge w:val="restart"/>
                  <w:shd w:val="clear" w:color="auto" w:fill="auto"/>
                  <w:vAlign w:val="center"/>
                </w:tcPr>
                <w:p>
                  <w:pPr>
                    <w:pStyle w:val="178"/>
                    <w:rPr>
                      <w:snapToGrid w:val="0"/>
                      <w:color w:val="auto"/>
                    </w:rPr>
                  </w:pPr>
                  <w:r>
                    <w:rPr>
                      <w:snapToGrid w:val="0"/>
                      <w:color w:val="auto"/>
                      <w:lang w:val="zh-CN"/>
                    </w:rPr>
                    <w:t>排放口</w:t>
                  </w:r>
                </w:p>
              </w:tc>
              <w:tc>
                <w:tcPr>
                  <w:tcW w:w="992" w:type="dxa"/>
                  <w:vMerge w:val="restart"/>
                  <w:shd w:val="clear" w:color="auto" w:fill="auto"/>
                  <w:vAlign w:val="center"/>
                </w:tcPr>
                <w:p>
                  <w:pPr>
                    <w:pStyle w:val="178"/>
                    <w:rPr>
                      <w:snapToGrid w:val="0"/>
                      <w:color w:val="auto"/>
                    </w:rPr>
                  </w:pPr>
                  <w:r>
                    <w:rPr>
                      <w:snapToGrid w:val="0"/>
                      <w:color w:val="auto"/>
                      <w:lang w:val="zh-CN"/>
                    </w:rPr>
                    <w:t>污染物</w:t>
                  </w:r>
                </w:p>
              </w:tc>
              <w:tc>
                <w:tcPr>
                  <w:tcW w:w="993" w:type="dxa"/>
                  <w:vMerge w:val="restart"/>
                  <w:shd w:val="clear" w:color="auto" w:fill="auto"/>
                  <w:vAlign w:val="center"/>
                </w:tcPr>
                <w:p>
                  <w:pPr>
                    <w:pStyle w:val="178"/>
                    <w:rPr>
                      <w:snapToGrid w:val="0"/>
                      <w:color w:val="auto"/>
                    </w:rPr>
                  </w:pPr>
                  <w:r>
                    <w:rPr>
                      <w:snapToGrid w:val="0"/>
                      <w:color w:val="auto"/>
                      <w:lang w:val="zh-CN"/>
                    </w:rPr>
                    <w:t>主要污染防治措施</w:t>
                  </w:r>
                </w:p>
              </w:tc>
              <w:tc>
                <w:tcPr>
                  <w:tcW w:w="2968" w:type="dxa"/>
                  <w:gridSpan w:val="2"/>
                  <w:shd w:val="clear" w:color="auto" w:fill="auto"/>
                  <w:vAlign w:val="center"/>
                </w:tcPr>
                <w:p>
                  <w:pPr>
                    <w:pStyle w:val="178"/>
                    <w:rPr>
                      <w:snapToGrid w:val="0"/>
                      <w:color w:val="auto"/>
                      <w:lang w:val="zh-CN"/>
                    </w:rPr>
                  </w:pPr>
                  <w:r>
                    <w:rPr>
                      <w:snapToGrid w:val="0"/>
                      <w:color w:val="auto"/>
                      <w:lang w:val="zh-CN"/>
                    </w:rPr>
                    <w:t>国家或地方污染物排放标准</w:t>
                  </w:r>
                </w:p>
              </w:tc>
              <w:tc>
                <w:tcPr>
                  <w:tcW w:w="1129" w:type="dxa"/>
                  <w:vMerge w:val="restart"/>
                  <w:shd w:val="clear" w:color="auto" w:fill="auto"/>
                  <w:vAlign w:val="center"/>
                </w:tcPr>
                <w:p>
                  <w:pPr>
                    <w:pStyle w:val="178"/>
                    <w:rPr>
                      <w:snapToGrid w:val="0"/>
                      <w:color w:val="auto"/>
                      <w:lang w:val="zh-CN"/>
                    </w:rPr>
                  </w:pPr>
                  <w:r>
                    <w:rPr>
                      <w:rFonts w:hint="eastAsia"/>
                      <w:snapToGrid w:val="0"/>
                      <w:color w:val="auto"/>
                      <w:lang w:val="zh-CN"/>
                    </w:rPr>
                    <w:t>速率</w:t>
                  </w:r>
                  <w:r>
                    <w:rPr>
                      <w:snapToGrid w:val="0"/>
                      <w:color w:val="auto"/>
                      <w:lang w:val="zh-CN"/>
                    </w:rPr>
                    <w:t>/（</w:t>
                  </w:r>
                  <w:r>
                    <w:rPr>
                      <w:rFonts w:hint="eastAsia"/>
                      <w:snapToGrid w:val="0"/>
                      <w:color w:val="auto"/>
                      <w:lang w:val="zh-CN"/>
                    </w:rPr>
                    <w:t>kg</w:t>
                  </w:r>
                  <w:r>
                    <w:rPr>
                      <w:snapToGrid w:val="0"/>
                      <w:color w:val="auto"/>
                      <w:lang w:val="zh-CN"/>
                    </w:rPr>
                    <w:t>/</w:t>
                  </w:r>
                  <w:r>
                    <w:rPr>
                      <w:rFonts w:hint="eastAsia"/>
                      <w:snapToGrid w:val="0"/>
                      <w:color w:val="auto"/>
                      <w:lang w:val="zh-CN"/>
                    </w:rPr>
                    <w:t>h</w:t>
                  </w:r>
                  <w:r>
                    <w:rPr>
                      <w:snapToGrid w:val="0"/>
                      <w:color w:val="auto"/>
                      <w:lang w:val="zh-CN"/>
                    </w:rPr>
                    <w:t>）</w:t>
                  </w:r>
                </w:p>
              </w:tc>
              <w:tc>
                <w:tcPr>
                  <w:tcW w:w="917" w:type="dxa"/>
                  <w:vMerge w:val="restart"/>
                  <w:shd w:val="clear" w:color="auto" w:fill="auto"/>
                  <w:vAlign w:val="center"/>
                </w:tcPr>
                <w:p>
                  <w:pPr>
                    <w:pStyle w:val="178"/>
                    <w:rPr>
                      <w:snapToGrid w:val="0"/>
                      <w:color w:val="auto"/>
                      <w:lang w:val="zh-CN"/>
                    </w:rPr>
                  </w:pPr>
                  <w:r>
                    <w:rPr>
                      <w:snapToGrid w:val="0"/>
                      <w:color w:val="auto"/>
                      <w:lang w:val="zh-CN"/>
                    </w:rPr>
                    <w:t>年排</w:t>
                  </w:r>
                </w:p>
                <w:p>
                  <w:pPr>
                    <w:pStyle w:val="178"/>
                    <w:rPr>
                      <w:snapToGrid w:val="0"/>
                      <w:color w:val="auto"/>
                      <w:lang w:val="zh-CN"/>
                    </w:rPr>
                  </w:pPr>
                  <w:r>
                    <w:rPr>
                      <w:snapToGrid w:val="0"/>
                      <w:color w:val="auto"/>
                      <w:lang w:val="zh-CN"/>
                    </w:rPr>
                    <w:t>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419" w:type="dxa"/>
                  <w:vMerge w:val="continue"/>
                  <w:shd w:val="clear" w:color="auto" w:fill="auto"/>
                  <w:vAlign w:val="center"/>
                </w:tcPr>
                <w:p>
                  <w:pPr>
                    <w:pStyle w:val="178"/>
                    <w:rPr>
                      <w:snapToGrid w:val="0"/>
                      <w:color w:val="auto"/>
                      <w:lang w:val="zh-CN"/>
                    </w:rPr>
                  </w:pPr>
                </w:p>
              </w:tc>
              <w:tc>
                <w:tcPr>
                  <w:tcW w:w="964" w:type="dxa"/>
                  <w:vMerge w:val="continue"/>
                  <w:shd w:val="clear" w:color="auto" w:fill="auto"/>
                  <w:vAlign w:val="center"/>
                </w:tcPr>
                <w:p>
                  <w:pPr>
                    <w:pStyle w:val="178"/>
                    <w:rPr>
                      <w:snapToGrid w:val="0"/>
                      <w:color w:val="auto"/>
                      <w:lang w:val="zh-CN"/>
                    </w:rPr>
                  </w:pPr>
                </w:p>
              </w:tc>
              <w:tc>
                <w:tcPr>
                  <w:tcW w:w="992" w:type="dxa"/>
                  <w:vMerge w:val="continue"/>
                  <w:shd w:val="clear" w:color="auto" w:fill="auto"/>
                  <w:vAlign w:val="center"/>
                </w:tcPr>
                <w:p>
                  <w:pPr>
                    <w:pStyle w:val="178"/>
                    <w:rPr>
                      <w:snapToGrid w:val="0"/>
                      <w:color w:val="auto"/>
                      <w:lang w:val="zh-CN"/>
                    </w:rPr>
                  </w:pPr>
                </w:p>
              </w:tc>
              <w:tc>
                <w:tcPr>
                  <w:tcW w:w="993" w:type="dxa"/>
                  <w:vMerge w:val="continue"/>
                  <w:shd w:val="clear" w:color="auto" w:fill="auto"/>
                  <w:vAlign w:val="center"/>
                </w:tcPr>
                <w:p>
                  <w:pPr>
                    <w:pStyle w:val="178"/>
                    <w:rPr>
                      <w:snapToGrid w:val="0"/>
                      <w:color w:val="auto"/>
                      <w:lang w:val="zh-CN"/>
                    </w:rPr>
                  </w:pPr>
                </w:p>
              </w:tc>
              <w:tc>
                <w:tcPr>
                  <w:tcW w:w="2968" w:type="dxa"/>
                  <w:gridSpan w:val="2"/>
                  <w:shd w:val="clear" w:color="auto" w:fill="auto"/>
                  <w:vAlign w:val="center"/>
                </w:tcPr>
                <w:p>
                  <w:pPr>
                    <w:pStyle w:val="178"/>
                    <w:rPr>
                      <w:snapToGrid w:val="0"/>
                      <w:color w:val="auto"/>
                      <w:lang w:val="zh-CN"/>
                    </w:rPr>
                  </w:pPr>
                  <w:r>
                    <w:rPr>
                      <w:snapToGrid w:val="0"/>
                      <w:color w:val="auto"/>
                      <w:lang w:val="zh-CN"/>
                    </w:rPr>
                    <w:t>标准名称</w:t>
                  </w:r>
                </w:p>
              </w:tc>
              <w:tc>
                <w:tcPr>
                  <w:tcW w:w="1129" w:type="dxa"/>
                  <w:vMerge w:val="continue"/>
                  <w:shd w:val="clear" w:color="auto" w:fill="auto"/>
                  <w:vAlign w:val="center"/>
                </w:tcPr>
                <w:p>
                  <w:pPr>
                    <w:pStyle w:val="178"/>
                    <w:rPr>
                      <w:snapToGrid w:val="0"/>
                      <w:color w:val="auto"/>
                      <w:lang w:val="zh-CN"/>
                    </w:rPr>
                  </w:pPr>
                </w:p>
              </w:tc>
              <w:tc>
                <w:tcPr>
                  <w:tcW w:w="917" w:type="dxa"/>
                  <w:vMerge w:val="continue"/>
                  <w:shd w:val="clear" w:color="auto" w:fill="auto"/>
                  <w:vAlign w:val="center"/>
                </w:tcPr>
                <w:p>
                  <w:pPr>
                    <w:pStyle w:val="178"/>
                    <w:rPr>
                      <w:snapToGrid w:val="0"/>
                      <w:color w:val="auto"/>
                      <w:lang w:val="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9" w:type="dxa"/>
                  <w:shd w:val="clear" w:color="auto" w:fill="auto"/>
                  <w:vAlign w:val="center"/>
                </w:tcPr>
                <w:p>
                  <w:pPr>
                    <w:pStyle w:val="178"/>
                    <w:rPr>
                      <w:snapToGrid w:val="0"/>
                      <w:color w:val="auto"/>
                      <w:lang w:val="zh-CN"/>
                    </w:rPr>
                  </w:pPr>
                  <w:r>
                    <w:rPr>
                      <w:snapToGrid w:val="0"/>
                      <w:color w:val="auto"/>
                      <w:lang w:val="zh-CN"/>
                    </w:rPr>
                    <w:t>1</w:t>
                  </w:r>
                </w:p>
              </w:tc>
              <w:tc>
                <w:tcPr>
                  <w:tcW w:w="964" w:type="dxa"/>
                  <w:shd w:val="clear" w:color="auto" w:fill="auto"/>
                  <w:vAlign w:val="center"/>
                </w:tcPr>
                <w:p>
                  <w:pPr>
                    <w:pStyle w:val="178"/>
                    <w:rPr>
                      <w:snapToGrid w:val="0"/>
                      <w:color w:val="auto"/>
                      <w:lang w:val="zh-CN"/>
                    </w:rPr>
                  </w:pPr>
                  <w:r>
                    <w:rPr>
                      <w:snapToGrid w:val="0"/>
                      <w:color w:val="auto"/>
                      <w:lang w:val="zh-CN"/>
                    </w:rPr>
                    <w:t>厂区</w:t>
                  </w:r>
                </w:p>
              </w:tc>
              <w:tc>
                <w:tcPr>
                  <w:tcW w:w="992" w:type="dxa"/>
                  <w:shd w:val="clear" w:color="auto" w:fill="auto"/>
                  <w:vAlign w:val="center"/>
                </w:tcPr>
                <w:p>
                  <w:pPr>
                    <w:pStyle w:val="178"/>
                    <w:rPr>
                      <w:snapToGrid w:val="0"/>
                      <w:color w:val="auto"/>
                      <w:lang w:val="zh-CN"/>
                    </w:rPr>
                  </w:pPr>
                  <w:r>
                    <w:rPr>
                      <w:rFonts w:hint="eastAsia"/>
                      <w:snapToGrid w:val="0"/>
                      <w:color w:val="auto"/>
                      <w:lang w:val="zh-CN"/>
                    </w:rPr>
                    <w:t>颗粒物</w:t>
                  </w:r>
                </w:p>
              </w:tc>
              <w:tc>
                <w:tcPr>
                  <w:tcW w:w="993" w:type="dxa"/>
                  <w:shd w:val="clear" w:color="auto" w:fill="auto"/>
                  <w:vAlign w:val="center"/>
                </w:tcPr>
                <w:p>
                  <w:pPr>
                    <w:pStyle w:val="178"/>
                    <w:rPr>
                      <w:color w:val="auto"/>
                      <w:lang w:val="zh-CN"/>
                    </w:rPr>
                  </w:pPr>
                  <w:r>
                    <w:rPr>
                      <w:rFonts w:hint="eastAsia"/>
                      <w:color w:val="auto"/>
                      <w:lang w:val="zh-CN"/>
                    </w:rPr>
                    <w:t>车间密闭、自然沉降</w:t>
                  </w:r>
                </w:p>
              </w:tc>
              <w:tc>
                <w:tcPr>
                  <w:tcW w:w="2948" w:type="dxa"/>
                  <w:shd w:val="clear" w:color="auto" w:fill="auto"/>
                  <w:vAlign w:val="center"/>
                </w:tcPr>
                <w:p>
                  <w:pPr>
                    <w:pStyle w:val="178"/>
                    <w:rPr>
                      <w:color w:val="auto"/>
                    </w:rPr>
                  </w:pPr>
                  <w:r>
                    <w:rPr>
                      <w:rFonts w:hint="eastAsia"/>
                      <w:color w:val="auto"/>
                    </w:rPr>
                    <w:t>《大气污染物综合排放标准》（GB16297-1996）</w:t>
                  </w:r>
                </w:p>
              </w:tc>
              <w:tc>
                <w:tcPr>
                  <w:tcW w:w="1149" w:type="dxa"/>
                  <w:gridSpan w:val="2"/>
                  <w:vAlign w:val="center"/>
                </w:tcPr>
                <w:p>
                  <w:pPr>
                    <w:pStyle w:val="178"/>
                    <w:rPr>
                      <w:snapToGrid w:val="0"/>
                      <w:color w:val="auto"/>
                      <w:lang w:val="zh-CN"/>
                    </w:rPr>
                  </w:pPr>
                  <w:r>
                    <w:rPr>
                      <w:rFonts w:hint="eastAsia"/>
                      <w:color w:val="auto"/>
                    </w:rPr>
                    <w:t>0.</w:t>
                  </w:r>
                  <w:r>
                    <w:rPr>
                      <w:color w:val="auto"/>
                    </w:rPr>
                    <w:t>361</w:t>
                  </w:r>
                </w:p>
              </w:tc>
              <w:tc>
                <w:tcPr>
                  <w:tcW w:w="917" w:type="dxa"/>
                  <w:vAlign w:val="center"/>
                </w:tcPr>
                <w:p>
                  <w:pPr>
                    <w:pStyle w:val="178"/>
                    <w:rPr>
                      <w:color w:val="auto"/>
                    </w:rPr>
                  </w:pPr>
                  <w:r>
                    <w:rPr>
                      <w:color w:val="auto"/>
                    </w:rPr>
                    <w:t>0</w:t>
                  </w:r>
                  <w:r>
                    <w:rPr>
                      <w:rFonts w:hint="eastAsia"/>
                      <w:color w:val="auto"/>
                    </w:rPr>
                    <w:t>.</w:t>
                  </w:r>
                  <w:r>
                    <w:rPr>
                      <w:color w:val="auto"/>
                    </w:rPr>
                    <w:t>866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9" w:type="dxa"/>
                  <w:shd w:val="clear" w:color="auto" w:fill="auto"/>
                  <w:vAlign w:val="center"/>
                </w:tcPr>
                <w:p>
                  <w:pPr>
                    <w:pStyle w:val="178"/>
                    <w:rPr>
                      <w:snapToGrid w:val="0"/>
                      <w:color w:val="auto"/>
                      <w:lang w:val="zh-CN"/>
                    </w:rPr>
                  </w:pPr>
                  <w:r>
                    <w:rPr>
                      <w:rFonts w:hint="eastAsia"/>
                      <w:snapToGrid w:val="0"/>
                      <w:color w:val="auto"/>
                      <w:lang w:val="zh-CN"/>
                    </w:rPr>
                    <w:t>2</w:t>
                  </w:r>
                </w:p>
              </w:tc>
              <w:tc>
                <w:tcPr>
                  <w:tcW w:w="964" w:type="dxa"/>
                  <w:shd w:val="clear" w:color="auto" w:fill="auto"/>
                  <w:vAlign w:val="center"/>
                </w:tcPr>
                <w:p>
                  <w:pPr>
                    <w:pStyle w:val="178"/>
                    <w:rPr>
                      <w:snapToGrid w:val="0"/>
                      <w:color w:val="auto"/>
                      <w:lang w:val="zh-CN"/>
                    </w:rPr>
                  </w:pPr>
                  <w:r>
                    <w:rPr>
                      <w:rFonts w:hint="eastAsia"/>
                      <w:snapToGrid w:val="0"/>
                      <w:color w:val="auto"/>
                      <w:lang w:val="zh-CN"/>
                    </w:rPr>
                    <w:t>厂区</w:t>
                  </w:r>
                </w:p>
              </w:tc>
              <w:tc>
                <w:tcPr>
                  <w:tcW w:w="992" w:type="dxa"/>
                  <w:shd w:val="clear" w:color="auto" w:fill="auto"/>
                  <w:vAlign w:val="center"/>
                </w:tcPr>
                <w:p>
                  <w:pPr>
                    <w:pStyle w:val="178"/>
                    <w:rPr>
                      <w:snapToGrid w:val="0"/>
                      <w:color w:val="auto"/>
                      <w:lang w:val="zh-CN"/>
                    </w:rPr>
                  </w:pPr>
                  <w:r>
                    <w:rPr>
                      <w:rFonts w:hint="eastAsia"/>
                      <w:snapToGrid w:val="0"/>
                      <w:color w:val="auto"/>
                      <w:lang w:val="zh-CN"/>
                    </w:rPr>
                    <w:t>VOCs</w:t>
                  </w:r>
                </w:p>
              </w:tc>
              <w:tc>
                <w:tcPr>
                  <w:tcW w:w="993" w:type="dxa"/>
                  <w:shd w:val="clear" w:color="auto" w:fill="auto"/>
                  <w:vAlign w:val="center"/>
                </w:tcPr>
                <w:p>
                  <w:pPr>
                    <w:pStyle w:val="178"/>
                    <w:rPr>
                      <w:color w:val="auto"/>
                      <w:lang w:val="zh-CN"/>
                    </w:rPr>
                  </w:pPr>
                  <w:r>
                    <w:rPr>
                      <w:rFonts w:hint="eastAsia"/>
                      <w:color w:val="auto"/>
                      <w:lang w:val="zh-CN"/>
                    </w:rPr>
                    <w:t>车间密闭</w:t>
                  </w:r>
                </w:p>
              </w:tc>
              <w:tc>
                <w:tcPr>
                  <w:tcW w:w="2948" w:type="dxa"/>
                  <w:shd w:val="clear" w:color="auto" w:fill="auto"/>
                  <w:vAlign w:val="center"/>
                </w:tcPr>
                <w:p>
                  <w:pPr>
                    <w:pStyle w:val="178"/>
                    <w:rPr>
                      <w:color w:val="auto"/>
                    </w:rPr>
                  </w:pPr>
                  <w:r>
                    <w:rPr>
                      <w:rFonts w:hint="eastAsia"/>
                      <w:color w:val="auto"/>
                    </w:rPr>
                    <w:t>《大气污染物综合排放标准》（GB16297-1996）、《挥发性有机物无组织排放控制标准》（GB37822-2019）要求</w:t>
                  </w:r>
                </w:p>
              </w:tc>
              <w:tc>
                <w:tcPr>
                  <w:tcW w:w="1149" w:type="dxa"/>
                  <w:gridSpan w:val="2"/>
                  <w:vAlign w:val="center"/>
                </w:tcPr>
                <w:p>
                  <w:pPr>
                    <w:pStyle w:val="178"/>
                    <w:rPr>
                      <w:snapToGrid w:val="0"/>
                      <w:color w:val="auto"/>
                    </w:rPr>
                  </w:pPr>
                  <w:r>
                    <w:rPr>
                      <w:rFonts w:hint="eastAsia"/>
                      <w:color w:val="auto"/>
                    </w:rPr>
                    <w:t>0.</w:t>
                  </w:r>
                  <w:r>
                    <w:rPr>
                      <w:color w:val="auto"/>
                    </w:rPr>
                    <w:t>0625</w:t>
                  </w:r>
                </w:p>
              </w:tc>
              <w:tc>
                <w:tcPr>
                  <w:tcW w:w="917" w:type="dxa"/>
                  <w:vAlign w:val="center"/>
                </w:tcPr>
                <w:p>
                  <w:pPr>
                    <w:pStyle w:val="178"/>
                    <w:rPr>
                      <w:color w:val="auto"/>
                    </w:rPr>
                  </w:pPr>
                  <w:r>
                    <w:rPr>
                      <w:color w:val="auto"/>
                    </w:rPr>
                    <w:t>0</w:t>
                  </w:r>
                  <w:r>
                    <w:rPr>
                      <w:rFonts w:hint="eastAsia"/>
                      <w:color w:val="auto"/>
                    </w:rPr>
                    <w:t>.</w:t>
                  </w:r>
                  <w:r>
                    <w:rPr>
                      <w:color w:val="auto"/>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419" w:type="dxa"/>
                  <w:shd w:val="clear" w:color="auto" w:fill="auto"/>
                  <w:vAlign w:val="center"/>
                </w:tcPr>
                <w:p>
                  <w:pPr>
                    <w:pStyle w:val="178"/>
                    <w:rPr>
                      <w:snapToGrid w:val="0"/>
                      <w:color w:val="auto"/>
                      <w:lang w:val="zh-CN"/>
                    </w:rPr>
                  </w:pPr>
                  <w:r>
                    <w:rPr>
                      <w:rFonts w:hint="eastAsia"/>
                      <w:snapToGrid w:val="0"/>
                      <w:color w:val="auto"/>
                      <w:lang w:val="zh-CN"/>
                    </w:rPr>
                    <w:t>3</w:t>
                  </w:r>
                </w:p>
              </w:tc>
              <w:tc>
                <w:tcPr>
                  <w:tcW w:w="964" w:type="dxa"/>
                  <w:shd w:val="clear" w:color="auto" w:fill="auto"/>
                  <w:vAlign w:val="center"/>
                </w:tcPr>
                <w:p>
                  <w:pPr>
                    <w:pStyle w:val="178"/>
                    <w:rPr>
                      <w:snapToGrid w:val="0"/>
                      <w:color w:val="auto"/>
                      <w:lang w:val="zh-CN"/>
                    </w:rPr>
                  </w:pPr>
                  <w:r>
                    <w:rPr>
                      <w:rFonts w:hint="eastAsia"/>
                      <w:snapToGrid w:val="0"/>
                      <w:color w:val="auto"/>
                      <w:lang w:val="zh-CN"/>
                    </w:rPr>
                    <w:t>厂区</w:t>
                  </w:r>
                </w:p>
              </w:tc>
              <w:tc>
                <w:tcPr>
                  <w:tcW w:w="992" w:type="dxa"/>
                  <w:shd w:val="clear" w:color="auto" w:fill="auto"/>
                  <w:vAlign w:val="center"/>
                </w:tcPr>
                <w:p>
                  <w:pPr>
                    <w:pStyle w:val="178"/>
                    <w:rPr>
                      <w:snapToGrid w:val="0"/>
                      <w:color w:val="auto"/>
                      <w:lang w:val="zh-CN"/>
                    </w:rPr>
                  </w:pPr>
                  <w:r>
                    <w:rPr>
                      <w:rFonts w:hint="eastAsia"/>
                      <w:snapToGrid w:val="0"/>
                      <w:color w:val="auto"/>
                      <w:lang w:val="zh-CN"/>
                    </w:rPr>
                    <w:t>甲醛</w:t>
                  </w:r>
                </w:p>
              </w:tc>
              <w:tc>
                <w:tcPr>
                  <w:tcW w:w="993" w:type="dxa"/>
                  <w:shd w:val="clear" w:color="auto" w:fill="auto"/>
                  <w:vAlign w:val="center"/>
                </w:tcPr>
                <w:p>
                  <w:pPr>
                    <w:pStyle w:val="178"/>
                    <w:rPr>
                      <w:color w:val="auto"/>
                      <w:lang w:val="zh-CN"/>
                    </w:rPr>
                  </w:pPr>
                  <w:r>
                    <w:rPr>
                      <w:rFonts w:hint="eastAsia"/>
                      <w:color w:val="auto"/>
                      <w:lang w:val="zh-CN"/>
                    </w:rPr>
                    <w:t>车间密闭</w:t>
                  </w:r>
                </w:p>
              </w:tc>
              <w:tc>
                <w:tcPr>
                  <w:tcW w:w="2948" w:type="dxa"/>
                  <w:shd w:val="clear" w:color="auto" w:fill="auto"/>
                  <w:vAlign w:val="center"/>
                </w:tcPr>
                <w:p>
                  <w:pPr>
                    <w:pStyle w:val="178"/>
                    <w:rPr>
                      <w:color w:val="auto"/>
                    </w:rPr>
                  </w:pPr>
                  <w:r>
                    <w:rPr>
                      <w:rFonts w:hint="eastAsia"/>
                      <w:color w:val="auto"/>
                    </w:rPr>
                    <w:t>《大气污染物综合排放标准》（GB16297-1996）</w:t>
                  </w:r>
                </w:p>
              </w:tc>
              <w:tc>
                <w:tcPr>
                  <w:tcW w:w="1149" w:type="dxa"/>
                  <w:gridSpan w:val="2"/>
                  <w:vAlign w:val="center"/>
                </w:tcPr>
                <w:p>
                  <w:pPr>
                    <w:pStyle w:val="178"/>
                    <w:rPr>
                      <w:snapToGrid w:val="0"/>
                      <w:color w:val="auto"/>
                    </w:rPr>
                  </w:pPr>
                  <w:r>
                    <w:rPr>
                      <w:rFonts w:hint="eastAsia"/>
                      <w:color w:val="auto"/>
                    </w:rPr>
                    <w:t>0.</w:t>
                  </w:r>
                  <w:r>
                    <w:rPr>
                      <w:color w:val="auto"/>
                    </w:rPr>
                    <w:t>00146</w:t>
                  </w:r>
                </w:p>
              </w:tc>
              <w:tc>
                <w:tcPr>
                  <w:tcW w:w="917" w:type="dxa"/>
                  <w:vAlign w:val="center"/>
                </w:tcPr>
                <w:p>
                  <w:pPr>
                    <w:pStyle w:val="178"/>
                    <w:rPr>
                      <w:color w:val="auto"/>
                    </w:rPr>
                  </w:pPr>
                  <w:r>
                    <w:rPr>
                      <w:rFonts w:hint="eastAsia"/>
                      <w:color w:val="auto"/>
                    </w:rPr>
                    <w:t>0.</w:t>
                  </w:r>
                  <w:r>
                    <w:rPr>
                      <w:color w:val="auto"/>
                    </w:rPr>
                    <w:t>0035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382" w:type="dxa"/>
                  <w:gridSpan w:val="8"/>
                  <w:shd w:val="clear" w:color="auto" w:fill="auto"/>
                  <w:vAlign w:val="center"/>
                </w:tcPr>
                <w:p>
                  <w:pPr>
                    <w:pStyle w:val="178"/>
                    <w:rPr>
                      <w:snapToGrid w:val="0"/>
                      <w:color w:val="auto"/>
                    </w:rPr>
                  </w:pPr>
                  <w:r>
                    <w:rPr>
                      <w:snapToGrid w:val="0"/>
                      <w:color w:val="auto"/>
                      <w:lang w:val="zh-CN"/>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375" w:type="dxa"/>
                  <w:gridSpan w:val="3"/>
                  <w:vMerge w:val="restart"/>
                  <w:shd w:val="clear" w:color="auto" w:fill="auto"/>
                  <w:vAlign w:val="center"/>
                </w:tcPr>
                <w:p>
                  <w:pPr>
                    <w:pStyle w:val="178"/>
                    <w:rPr>
                      <w:snapToGrid w:val="0"/>
                      <w:color w:val="auto"/>
                    </w:rPr>
                  </w:pPr>
                  <w:r>
                    <w:rPr>
                      <w:snapToGrid w:val="0"/>
                      <w:color w:val="auto"/>
                      <w:lang w:val="zh-CN"/>
                    </w:rPr>
                    <w:t>无组织排放总计</w:t>
                  </w:r>
                </w:p>
              </w:tc>
              <w:tc>
                <w:tcPr>
                  <w:tcW w:w="3941" w:type="dxa"/>
                  <w:gridSpan w:val="2"/>
                  <w:shd w:val="clear" w:color="auto" w:fill="auto"/>
                  <w:vAlign w:val="center"/>
                </w:tcPr>
                <w:p>
                  <w:pPr>
                    <w:pStyle w:val="178"/>
                    <w:rPr>
                      <w:snapToGrid w:val="0"/>
                      <w:color w:val="auto"/>
                    </w:rPr>
                  </w:pPr>
                  <w:r>
                    <w:rPr>
                      <w:rFonts w:hint="eastAsia"/>
                      <w:snapToGrid w:val="0"/>
                      <w:color w:val="auto"/>
                    </w:rPr>
                    <w:t>颗粒物</w:t>
                  </w:r>
                </w:p>
              </w:tc>
              <w:tc>
                <w:tcPr>
                  <w:tcW w:w="2066" w:type="dxa"/>
                  <w:gridSpan w:val="3"/>
                  <w:vAlign w:val="center"/>
                </w:tcPr>
                <w:p>
                  <w:pPr>
                    <w:pStyle w:val="178"/>
                    <w:rPr>
                      <w:color w:val="auto"/>
                    </w:rPr>
                  </w:pPr>
                  <w:r>
                    <w:rPr>
                      <w:color w:val="auto"/>
                    </w:rPr>
                    <w:t>0</w:t>
                  </w:r>
                  <w:r>
                    <w:rPr>
                      <w:rFonts w:hint="eastAsia"/>
                      <w:color w:val="auto"/>
                    </w:rPr>
                    <w:t>.</w:t>
                  </w:r>
                  <w:r>
                    <w:rPr>
                      <w:color w:val="auto"/>
                    </w:rPr>
                    <w:t>866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375" w:type="dxa"/>
                  <w:gridSpan w:val="3"/>
                  <w:vMerge w:val="continue"/>
                  <w:shd w:val="clear" w:color="auto" w:fill="auto"/>
                  <w:vAlign w:val="center"/>
                </w:tcPr>
                <w:p>
                  <w:pPr>
                    <w:pStyle w:val="178"/>
                    <w:rPr>
                      <w:snapToGrid w:val="0"/>
                      <w:color w:val="auto"/>
                      <w:lang w:val="zh-CN"/>
                    </w:rPr>
                  </w:pPr>
                </w:p>
              </w:tc>
              <w:tc>
                <w:tcPr>
                  <w:tcW w:w="3941" w:type="dxa"/>
                  <w:gridSpan w:val="2"/>
                  <w:shd w:val="clear" w:color="auto" w:fill="auto"/>
                  <w:vAlign w:val="center"/>
                </w:tcPr>
                <w:p>
                  <w:pPr>
                    <w:pStyle w:val="178"/>
                    <w:rPr>
                      <w:snapToGrid w:val="0"/>
                      <w:color w:val="auto"/>
                    </w:rPr>
                  </w:pPr>
                  <w:r>
                    <w:rPr>
                      <w:rFonts w:hint="eastAsia"/>
                      <w:color w:val="auto"/>
                      <w:szCs w:val="21"/>
                    </w:rPr>
                    <w:t>VOCs</w:t>
                  </w:r>
                </w:p>
              </w:tc>
              <w:tc>
                <w:tcPr>
                  <w:tcW w:w="2066" w:type="dxa"/>
                  <w:gridSpan w:val="3"/>
                  <w:vAlign w:val="center"/>
                </w:tcPr>
                <w:p>
                  <w:pPr>
                    <w:pStyle w:val="178"/>
                    <w:rPr>
                      <w:color w:val="auto"/>
                    </w:rPr>
                  </w:pPr>
                  <w:r>
                    <w:rPr>
                      <w:color w:val="auto"/>
                    </w:rPr>
                    <w:t>0</w:t>
                  </w:r>
                  <w:r>
                    <w:rPr>
                      <w:rFonts w:hint="eastAsia"/>
                      <w:color w:val="auto"/>
                    </w:rPr>
                    <w:t>.</w:t>
                  </w:r>
                  <w:r>
                    <w:rPr>
                      <w:color w:val="auto"/>
                    </w:rPr>
                    <w:t>15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375" w:type="dxa"/>
                  <w:gridSpan w:val="3"/>
                  <w:vMerge w:val="continue"/>
                  <w:shd w:val="clear" w:color="auto" w:fill="auto"/>
                  <w:vAlign w:val="center"/>
                </w:tcPr>
                <w:p>
                  <w:pPr>
                    <w:pStyle w:val="178"/>
                    <w:rPr>
                      <w:snapToGrid w:val="0"/>
                      <w:color w:val="auto"/>
                      <w:lang w:val="zh-CN"/>
                    </w:rPr>
                  </w:pPr>
                </w:p>
              </w:tc>
              <w:tc>
                <w:tcPr>
                  <w:tcW w:w="3941" w:type="dxa"/>
                  <w:gridSpan w:val="2"/>
                  <w:shd w:val="clear" w:color="auto" w:fill="auto"/>
                  <w:vAlign w:val="center"/>
                </w:tcPr>
                <w:p>
                  <w:pPr>
                    <w:pStyle w:val="178"/>
                    <w:rPr>
                      <w:snapToGrid w:val="0"/>
                      <w:color w:val="auto"/>
                      <w:lang w:val="zh-CN"/>
                    </w:rPr>
                  </w:pPr>
                  <w:r>
                    <w:rPr>
                      <w:rFonts w:hint="eastAsia"/>
                      <w:color w:val="auto"/>
                      <w:szCs w:val="21"/>
                    </w:rPr>
                    <w:t>甲醛</w:t>
                  </w:r>
                </w:p>
              </w:tc>
              <w:tc>
                <w:tcPr>
                  <w:tcW w:w="2066" w:type="dxa"/>
                  <w:gridSpan w:val="3"/>
                  <w:vAlign w:val="center"/>
                </w:tcPr>
                <w:p>
                  <w:pPr>
                    <w:pStyle w:val="178"/>
                    <w:rPr>
                      <w:color w:val="auto"/>
                    </w:rPr>
                  </w:pPr>
                  <w:r>
                    <w:rPr>
                      <w:rFonts w:hint="eastAsia"/>
                      <w:color w:val="auto"/>
                    </w:rPr>
                    <w:t>0.</w:t>
                  </w:r>
                  <w:r>
                    <w:rPr>
                      <w:color w:val="auto"/>
                    </w:rPr>
                    <w:t>0035</w:t>
                  </w:r>
                </w:p>
              </w:tc>
            </w:tr>
          </w:tbl>
          <w:p>
            <w:pPr>
              <w:pStyle w:val="100"/>
              <w:spacing w:before="120" w:beforeLines="50"/>
            </w:pPr>
            <w:r>
              <w:t>表</w:t>
            </w:r>
            <w:r>
              <w:rPr>
                <w:rFonts w:hint="eastAsia"/>
              </w:rPr>
              <w:t>4-</w:t>
            </w:r>
            <w:r>
              <w:t>11 年排放量汇总</w:t>
            </w:r>
          </w:p>
          <w:tbl>
            <w:tblPr>
              <w:tblStyle w:val="50"/>
              <w:tblW w:w="837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91"/>
              <w:gridCol w:w="2792"/>
              <w:gridCol w:w="279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91" w:type="dxa"/>
                  <w:shd w:val="clear" w:color="auto" w:fill="auto"/>
                  <w:vAlign w:val="center"/>
                </w:tcPr>
                <w:p>
                  <w:pPr>
                    <w:pStyle w:val="215"/>
                    <w:rPr>
                      <w:b/>
                      <w:bCs w:val="0"/>
                    </w:rPr>
                  </w:pPr>
                  <w:r>
                    <w:rPr>
                      <w:b/>
                      <w:bCs w:val="0"/>
                    </w:rPr>
                    <w:t>序号</w:t>
                  </w:r>
                </w:p>
              </w:tc>
              <w:tc>
                <w:tcPr>
                  <w:tcW w:w="2792" w:type="dxa"/>
                  <w:shd w:val="clear" w:color="auto" w:fill="auto"/>
                  <w:vAlign w:val="center"/>
                </w:tcPr>
                <w:p>
                  <w:pPr>
                    <w:pStyle w:val="215"/>
                    <w:rPr>
                      <w:b/>
                      <w:bCs w:val="0"/>
                    </w:rPr>
                  </w:pPr>
                  <w:r>
                    <w:rPr>
                      <w:b/>
                      <w:bCs w:val="0"/>
                    </w:rPr>
                    <w:t>污染物</w:t>
                  </w:r>
                </w:p>
              </w:tc>
              <w:tc>
                <w:tcPr>
                  <w:tcW w:w="2792" w:type="dxa"/>
                  <w:shd w:val="clear" w:color="auto" w:fill="auto"/>
                  <w:vAlign w:val="center"/>
                </w:tcPr>
                <w:p>
                  <w:pPr>
                    <w:pStyle w:val="215"/>
                    <w:rPr>
                      <w:b/>
                      <w:bCs w:val="0"/>
                    </w:rPr>
                  </w:pPr>
                  <w:r>
                    <w:rPr>
                      <w:b/>
                      <w:bCs w:val="0"/>
                    </w:rPr>
                    <w:t>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91" w:type="dxa"/>
                  <w:shd w:val="clear" w:color="auto" w:fill="auto"/>
                  <w:vAlign w:val="center"/>
                </w:tcPr>
                <w:p>
                  <w:pPr>
                    <w:pStyle w:val="215"/>
                  </w:pPr>
                  <w:r>
                    <w:t>1</w:t>
                  </w:r>
                </w:p>
              </w:tc>
              <w:tc>
                <w:tcPr>
                  <w:tcW w:w="2792" w:type="dxa"/>
                  <w:shd w:val="clear" w:color="auto" w:fill="auto"/>
                  <w:vAlign w:val="center"/>
                </w:tcPr>
                <w:p>
                  <w:pPr>
                    <w:pStyle w:val="215"/>
                  </w:pPr>
                  <w:r>
                    <w:rPr>
                      <w:rFonts w:hint="eastAsia" w:eastAsiaTheme="minorEastAsia"/>
                      <w:snapToGrid w:val="0"/>
                    </w:rPr>
                    <w:t>颗粒物</w:t>
                  </w:r>
                </w:p>
              </w:tc>
              <w:tc>
                <w:tcPr>
                  <w:tcW w:w="2792" w:type="dxa"/>
                  <w:shd w:val="clear" w:color="auto" w:fill="auto"/>
                  <w:vAlign w:val="center"/>
                </w:tcPr>
                <w:p>
                  <w:pPr>
                    <w:pStyle w:val="215"/>
                  </w:pPr>
                  <w:r>
                    <w:rPr>
                      <w:szCs w:val="20"/>
                    </w:rPr>
                    <w:t>4</w:t>
                  </w:r>
                  <w:r>
                    <w:rPr>
                      <w:rFonts w:hint="eastAsia"/>
                      <w:szCs w:val="20"/>
                    </w:rPr>
                    <w:t>.</w:t>
                  </w:r>
                  <w:r>
                    <w:rPr>
                      <w:szCs w:val="20"/>
                    </w:rPr>
                    <w:t>1212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2791" w:type="dxa"/>
                  <w:shd w:val="clear" w:color="auto" w:fill="auto"/>
                  <w:vAlign w:val="center"/>
                </w:tcPr>
                <w:p>
                  <w:pPr>
                    <w:pStyle w:val="215"/>
                  </w:pPr>
                  <w:r>
                    <w:rPr>
                      <w:rFonts w:hint="eastAsia"/>
                    </w:rPr>
                    <w:t>2</w:t>
                  </w:r>
                </w:p>
              </w:tc>
              <w:tc>
                <w:tcPr>
                  <w:tcW w:w="2792" w:type="dxa"/>
                  <w:shd w:val="clear" w:color="auto" w:fill="auto"/>
                  <w:vAlign w:val="center"/>
                </w:tcPr>
                <w:p>
                  <w:pPr>
                    <w:pStyle w:val="215"/>
                  </w:pPr>
                  <w:r>
                    <w:rPr>
                      <w:rFonts w:hint="eastAsia"/>
                    </w:rPr>
                    <w:t>VOCs</w:t>
                  </w:r>
                </w:p>
              </w:tc>
              <w:tc>
                <w:tcPr>
                  <w:tcW w:w="2792" w:type="dxa"/>
                  <w:shd w:val="clear" w:color="auto" w:fill="auto"/>
                  <w:vAlign w:val="center"/>
                </w:tcPr>
                <w:p>
                  <w:pPr>
                    <w:pStyle w:val="215"/>
                  </w:pPr>
                  <w:r>
                    <w:rPr>
                      <w:rFonts w:hint="eastAsia"/>
                    </w:rPr>
                    <w:t>0.</w:t>
                  </w:r>
                  <w:r>
                    <w:t>6874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791" w:type="dxa"/>
                  <w:shd w:val="clear" w:color="auto" w:fill="auto"/>
                  <w:vAlign w:val="center"/>
                </w:tcPr>
                <w:p>
                  <w:pPr>
                    <w:pStyle w:val="215"/>
                  </w:pPr>
                  <w:r>
                    <w:rPr>
                      <w:rFonts w:hint="eastAsia"/>
                    </w:rPr>
                    <w:t>3</w:t>
                  </w:r>
                </w:p>
              </w:tc>
              <w:tc>
                <w:tcPr>
                  <w:tcW w:w="2792" w:type="dxa"/>
                  <w:shd w:val="clear" w:color="auto" w:fill="auto"/>
                  <w:vAlign w:val="center"/>
                </w:tcPr>
                <w:p>
                  <w:pPr>
                    <w:pStyle w:val="215"/>
                  </w:pPr>
                  <w:r>
                    <w:rPr>
                      <w:rFonts w:hint="eastAsia"/>
                    </w:rPr>
                    <w:t>甲醛</w:t>
                  </w:r>
                </w:p>
              </w:tc>
              <w:tc>
                <w:tcPr>
                  <w:tcW w:w="2792" w:type="dxa"/>
                  <w:shd w:val="clear" w:color="auto" w:fill="auto"/>
                  <w:vAlign w:val="center"/>
                </w:tcPr>
                <w:p>
                  <w:pPr>
                    <w:pStyle w:val="215"/>
                  </w:pPr>
                  <w:r>
                    <w:rPr>
                      <w:rFonts w:hint="eastAsia"/>
                    </w:rPr>
                    <w:t>0.</w:t>
                  </w:r>
                  <w:r>
                    <w:t>0083</w:t>
                  </w:r>
                </w:p>
              </w:tc>
            </w:tr>
          </w:tbl>
          <w:p>
            <w:pPr>
              <w:adjustRightInd w:val="0"/>
              <w:snapToGrid w:val="0"/>
              <w:spacing w:before="120" w:beforeLines="50" w:line="360" w:lineRule="auto"/>
              <w:ind w:firstLine="482" w:firstLineChars="200"/>
              <w:rPr>
                <w:b/>
                <w:bCs/>
              </w:rPr>
            </w:pPr>
            <w:r>
              <w:rPr>
                <w:rFonts w:hint="eastAsia"/>
                <w:b/>
                <w:bCs/>
              </w:rPr>
              <w:t>8、监测要求</w:t>
            </w:r>
          </w:p>
          <w:p>
            <w:pPr>
              <w:adjustRightInd w:val="0"/>
              <w:snapToGrid w:val="0"/>
              <w:spacing w:line="360" w:lineRule="auto"/>
              <w:ind w:firstLine="480" w:firstLineChars="200"/>
              <w:rPr>
                <w:bCs/>
              </w:rPr>
            </w:pPr>
            <w:r>
              <w:rPr>
                <w:rFonts w:hint="eastAsia"/>
                <w:bCs/>
              </w:rPr>
              <w:t>项目废气监测方案具体见表 4-</w:t>
            </w:r>
            <w:r>
              <w:rPr>
                <w:bCs/>
              </w:rPr>
              <w:t>12</w:t>
            </w:r>
            <w:r>
              <w:rPr>
                <w:rFonts w:hint="eastAsia"/>
                <w:bCs/>
              </w:rPr>
              <w:t>。</w:t>
            </w:r>
          </w:p>
          <w:p>
            <w:pPr>
              <w:adjustRightInd w:val="0"/>
              <w:snapToGrid w:val="0"/>
              <w:spacing w:line="360" w:lineRule="auto"/>
              <w:jc w:val="center"/>
              <w:rPr>
                <w:b/>
                <w:kern w:val="36"/>
                <w:sz w:val="21"/>
              </w:rPr>
            </w:pPr>
            <w:r>
              <w:rPr>
                <w:rFonts w:hint="eastAsia"/>
                <w:b/>
                <w:kern w:val="36"/>
                <w:sz w:val="21"/>
              </w:rPr>
              <w:t>表 4-</w:t>
            </w:r>
            <w:r>
              <w:rPr>
                <w:b/>
                <w:kern w:val="36"/>
                <w:sz w:val="21"/>
              </w:rPr>
              <w:t>12</w:t>
            </w:r>
            <w:r>
              <w:rPr>
                <w:rFonts w:hint="eastAsia"/>
                <w:b/>
                <w:kern w:val="36"/>
                <w:sz w:val="21"/>
              </w:rPr>
              <w:t xml:space="preserve"> 有组织废气监测方案</w:t>
            </w:r>
          </w:p>
          <w:tbl>
            <w:tblPr>
              <w:tblStyle w:val="51"/>
              <w:tblW w:w="8315"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47"/>
              <w:gridCol w:w="1548"/>
              <w:gridCol w:w="1548"/>
              <w:gridCol w:w="1386"/>
              <w:gridCol w:w="228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2" w:hRule="atLeast"/>
              </w:trPr>
              <w:tc>
                <w:tcPr>
                  <w:tcW w:w="1547" w:type="dxa"/>
                  <w:vAlign w:val="center"/>
                </w:tcPr>
                <w:p>
                  <w:pPr>
                    <w:widowControl/>
                    <w:adjustRightInd w:val="0"/>
                    <w:snapToGrid w:val="0"/>
                    <w:spacing w:line="360" w:lineRule="exact"/>
                    <w:jc w:val="center"/>
                    <w:rPr>
                      <w:b/>
                      <w:bCs/>
                      <w:kern w:val="0"/>
                      <w:sz w:val="21"/>
                    </w:rPr>
                  </w:pPr>
                  <w:r>
                    <w:rPr>
                      <w:rFonts w:hint="eastAsia"/>
                      <w:b/>
                      <w:bCs/>
                      <w:kern w:val="0"/>
                      <w:sz w:val="21"/>
                    </w:rPr>
                    <w:t>产污环节</w:t>
                  </w:r>
                </w:p>
              </w:tc>
              <w:tc>
                <w:tcPr>
                  <w:tcW w:w="1548" w:type="dxa"/>
                  <w:vAlign w:val="center"/>
                </w:tcPr>
                <w:p>
                  <w:pPr>
                    <w:widowControl/>
                    <w:adjustRightInd w:val="0"/>
                    <w:snapToGrid w:val="0"/>
                    <w:spacing w:line="360" w:lineRule="exact"/>
                    <w:jc w:val="center"/>
                    <w:rPr>
                      <w:b/>
                      <w:bCs/>
                      <w:kern w:val="0"/>
                      <w:sz w:val="21"/>
                    </w:rPr>
                  </w:pPr>
                  <w:r>
                    <w:rPr>
                      <w:rFonts w:hint="eastAsia"/>
                      <w:b/>
                      <w:bCs/>
                      <w:kern w:val="0"/>
                      <w:sz w:val="21"/>
                    </w:rPr>
                    <w:t>监测点位</w:t>
                  </w:r>
                </w:p>
              </w:tc>
              <w:tc>
                <w:tcPr>
                  <w:tcW w:w="1548" w:type="dxa"/>
                  <w:vAlign w:val="center"/>
                </w:tcPr>
                <w:p>
                  <w:pPr>
                    <w:widowControl/>
                    <w:adjustRightInd w:val="0"/>
                    <w:snapToGrid w:val="0"/>
                    <w:spacing w:line="360" w:lineRule="exact"/>
                    <w:jc w:val="center"/>
                    <w:rPr>
                      <w:b/>
                      <w:bCs/>
                      <w:kern w:val="0"/>
                      <w:sz w:val="21"/>
                    </w:rPr>
                  </w:pPr>
                  <w:r>
                    <w:rPr>
                      <w:rFonts w:hint="eastAsia"/>
                      <w:b/>
                      <w:bCs/>
                      <w:kern w:val="0"/>
                      <w:sz w:val="21"/>
                    </w:rPr>
                    <w:t>监测指标</w:t>
                  </w:r>
                </w:p>
              </w:tc>
              <w:tc>
                <w:tcPr>
                  <w:tcW w:w="1386" w:type="dxa"/>
                  <w:vAlign w:val="center"/>
                </w:tcPr>
                <w:p>
                  <w:pPr>
                    <w:widowControl/>
                    <w:adjustRightInd w:val="0"/>
                    <w:snapToGrid w:val="0"/>
                    <w:spacing w:line="360" w:lineRule="exact"/>
                    <w:jc w:val="center"/>
                    <w:rPr>
                      <w:b/>
                      <w:bCs/>
                      <w:kern w:val="0"/>
                      <w:sz w:val="21"/>
                    </w:rPr>
                  </w:pPr>
                  <w:r>
                    <w:rPr>
                      <w:rFonts w:hint="eastAsia"/>
                      <w:b/>
                      <w:bCs/>
                      <w:kern w:val="0"/>
                      <w:sz w:val="21"/>
                    </w:rPr>
                    <w:t>监测频次</w:t>
                  </w:r>
                </w:p>
              </w:tc>
              <w:tc>
                <w:tcPr>
                  <w:tcW w:w="2286" w:type="dxa"/>
                  <w:vAlign w:val="center"/>
                </w:tcPr>
                <w:p>
                  <w:pPr>
                    <w:widowControl/>
                    <w:adjustRightInd w:val="0"/>
                    <w:snapToGrid w:val="0"/>
                    <w:spacing w:line="360" w:lineRule="exact"/>
                    <w:jc w:val="center"/>
                    <w:rPr>
                      <w:b/>
                      <w:bCs/>
                      <w:kern w:val="0"/>
                      <w:sz w:val="21"/>
                    </w:rPr>
                  </w:pPr>
                  <w:r>
                    <w:rPr>
                      <w:rFonts w:hint="eastAsia"/>
                      <w:b/>
                      <w:bCs/>
                      <w:kern w:val="0"/>
                      <w:sz w:val="21"/>
                    </w:rPr>
                    <w:t>排放执行标准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trPr>
              <w:tc>
                <w:tcPr>
                  <w:tcW w:w="1547" w:type="dxa"/>
                  <w:vMerge w:val="restart"/>
                  <w:vAlign w:val="center"/>
                </w:tcPr>
                <w:p>
                  <w:pPr>
                    <w:widowControl/>
                    <w:adjustRightInd w:val="0"/>
                    <w:snapToGrid w:val="0"/>
                    <w:spacing w:line="360" w:lineRule="exact"/>
                    <w:jc w:val="center"/>
                    <w:rPr>
                      <w:kern w:val="0"/>
                      <w:sz w:val="21"/>
                    </w:rPr>
                  </w:pPr>
                  <w:r>
                    <w:rPr>
                      <w:rFonts w:hint="eastAsia"/>
                      <w:kern w:val="0"/>
                      <w:sz w:val="21"/>
                      <w:szCs w:val="20"/>
                    </w:rPr>
                    <w:t>干燥</w:t>
                  </w:r>
                </w:p>
              </w:tc>
              <w:tc>
                <w:tcPr>
                  <w:tcW w:w="1548" w:type="dxa"/>
                  <w:vMerge w:val="restart"/>
                  <w:vAlign w:val="center"/>
                </w:tcPr>
                <w:p>
                  <w:pPr>
                    <w:widowControl/>
                    <w:adjustRightInd w:val="0"/>
                    <w:snapToGrid w:val="0"/>
                    <w:spacing w:line="360" w:lineRule="exact"/>
                    <w:jc w:val="center"/>
                    <w:rPr>
                      <w:kern w:val="0"/>
                      <w:sz w:val="21"/>
                    </w:rPr>
                  </w:pPr>
                  <w:r>
                    <w:rPr>
                      <w:rFonts w:hint="eastAsia"/>
                      <w:kern w:val="0"/>
                      <w:sz w:val="21"/>
                    </w:rPr>
                    <w:t>排气筒DA00</w:t>
                  </w:r>
                  <w:r>
                    <w:rPr>
                      <w:kern w:val="0"/>
                      <w:sz w:val="21"/>
                    </w:rPr>
                    <w:t>2</w:t>
                  </w:r>
                </w:p>
              </w:tc>
              <w:tc>
                <w:tcPr>
                  <w:tcW w:w="1548" w:type="dxa"/>
                  <w:vAlign w:val="center"/>
                </w:tcPr>
                <w:p>
                  <w:pPr>
                    <w:widowControl/>
                    <w:adjustRightInd w:val="0"/>
                    <w:snapToGrid w:val="0"/>
                    <w:spacing w:line="360" w:lineRule="exact"/>
                    <w:jc w:val="center"/>
                    <w:rPr>
                      <w:kern w:val="0"/>
                      <w:sz w:val="21"/>
                    </w:rPr>
                  </w:pPr>
                  <w:r>
                    <w:rPr>
                      <w:rFonts w:hint="eastAsia"/>
                      <w:kern w:val="0"/>
                      <w:sz w:val="21"/>
                      <w:szCs w:val="21"/>
                    </w:rPr>
                    <w:t>颗粒物</w:t>
                  </w:r>
                </w:p>
              </w:tc>
              <w:tc>
                <w:tcPr>
                  <w:tcW w:w="1386" w:type="dxa"/>
                  <w:vAlign w:val="center"/>
                </w:tcPr>
                <w:p>
                  <w:pPr>
                    <w:widowControl/>
                    <w:adjustRightInd w:val="0"/>
                    <w:snapToGrid w:val="0"/>
                    <w:spacing w:line="360" w:lineRule="exact"/>
                    <w:jc w:val="center"/>
                    <w:rPr>
                      <w:kern w:val="0"/>
                      <w:sz w:val="21"/>
                    </w:rPr>
                  </w:pPr>
                  <w:r>
                    <w:rPr>
                      <w:rFonts w:hint="eastAsia"/>
                      <w:kern w:val="0"/>
                      <w:sz w:val="21"/>
                    </w:rPr>
                    <w:t>1次/年</w:t>
                  </w:r>
                </w:p>
              </w:tc>
              <w:tc>
                <w:tcPr>
                  <w:tcW w:w="2286" w:type="dxa"/>
                  <w:vMerge w:val="restart"/>
                  <w:vAlign w:val="center"/>
                </w:tcPr>
                <w:p>
                  <w:pPr>
                    <w:widowControl/>
                    <w:adjustRightInd w:val="0"/>
                    <w:snapToGrid w:val="0"/>
                    <w:spacing w:line="360" w:lineRule="exact"/>
                    <w:jc w:val="center"/>
                    <w:rPr>
                      <w:kern w:val="0"/>
                      <w:sz w:val="21"/>
                    </w:rPr>
                  </w:pPr>
                  <w:r>
                    <w:rPr>
                      <w:rFonts w:hint="eastAsia"/>
                      <w:kern w:val="0"/>
                      <w:sz w:val="21"/>
                    </w:rPr>
                    <w:t>《大气污染物综合排放标准》（GB16297-1996）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547" w:type="dxa"/>
                  <w:vMerge w:val="continue"/>
                  <w:vAlign w:val="center"/>
                </w:tcPr>
                <w:p>
                  <w:pPr>
                    <w:widowControl/>
                    <w:adjustRightInd w:val="0"/>
                    <w:snapToGrid w:val="0"/>
                    <w:spacing w:line="360" w:lineRule="exact"/>
                    <w:jc w:val="center"/>
                    <w:rPr>
                      <w:kern w:val="0"/>
                      <w:sz w:val="21"/>
                    </w:rPr>
                  </w:pPr>
                </w:p>
              </w:tc>
              <w:tc>
                <w:tcPr>
                  <w:tcW w:w="1548" w:type="dxa"/>
                  <w:vMerge w:val="continue"/>
                  <w:vAlign w:val="center"/>
                </w:tcPr>
                <w:p>
                  <w:pPr>
                    <w:widowControl/>
                    <w:adjustRightInd w:val="0"/>
                    <w:snapToGrid w:val="0"/>
                    <w:spacing w:line="360" w:lineRule="exact"/>
                    <w:jc w:val="center"/>
                    <w:rPr>
                      <w:kern w:val="0"/>
                      <w:sz w:val="21"/>
                    </w:rPr>
                  </w:pPr>
                </w:p>
              </w:tc>
              <w:tc>
                <w:tcPr>
                  <w:tcW w:w="1548" w:type="dxa"/>
                  <w:vAlign w:val="center"/>
                </w:tcPr>
                <w:p>
                  <w:pPr>
                    <w:widowControl/>
                    <w:adjustRightInd w:val="0"/>
                    <w:snapToGrid w:val="0"/>
                    <w:spacing w:line="360" w:lineRule="exact"/>
                    <w:jc w:val="center"/>
                    <w:rPr>
                      <w:kern w:val="0"/>
                      <w:sz w:val="21"/>
                    </w:rPr>
                  </w:pPr>
                  <w:r>
                    <w:rPr>
                      <w:rFonts w:hint="eastAsia"/>
                      <w:kern w:val="0"/>
                      <w:sz w:val="21"/>
                      <w:szCs w:val="21"/>
                    </w:rPr>
                    <w:t>VOCs</w:t>
                  </w:r>
                </w:p>
              </w:tc>
              <w:tc>
                <w:tcPr>
                  <w:tcW w:w="1386" w:type="dxa"/>
                  <w:vAlign w:val="center"/>
                </w:tcPr>
                <w:p>
                  <w:pPr>
                    <w:widowControl/>
                    <w:adjustRightInd w:val="0"/>
                    <w:snapToGrid w:val="0"/>
                    <w:spacing w:line="360" w:lineRule="exact"/>
                    <w:jc w:val="center"/>
                    <w:rPr>
                      <w:kern w:val="0"/>
                      <w:sz w:val="21"/>
                    </w:rPr>
                  </w:pPr>
                  <w:r>
                    <w:rPr>
                      <w:rFonts w:hint="eastAsia"/>
                      <w:kern w:val="0"/>
                      <w:sz w:val="21"/>
                    </w:rPr>
                    <w:t>1次/年</w:t>
                  </w:r>
                </w:p>
              </w:tc>
              <w:tc>
                <w:tcPr>
                  <w:tcW w:w="2286" w:type="dxa"/>
                  <w:vMerge w:val="continue"/>
                  <w:vAlign w:val="center"/>
                </w:tcPr>
                <w:p>
                  <w:pPr>
                    <w:widowControl/>
                    <w:adjustRightInd w:val="0"/>
                    <w:snapToGrid w:val="0"/>
                    <w:spacing w:line="360" w:lineRule="exact"/>
                    <w:jc w:val="center"/>
                    <w:rPr>
                      <w:kern w:val="0"/>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47" w:type="dxa"/>
                  <w:vAlign w:val="center"/>
                </w:tcPr>
                <w:p>
                  <w:pPr>
                    <w:widowControl/>
                    <w:adjustRightInd w:val="0"/>
                    <w:snapToGrid w:val="0"/>
                    <w:spacing w:line="360" w:lineRule="exact"/>
                    <w:jc w:val="center"/>
                    <w:rPr>
                      <w:kern w:val="0"/>
                      <w:sz w:val="21"/>
                    </w:rPr>
                  </w:pPr>
                  <w:r>
                    <w:rPr>
                      <w:rFonts w:hint="eastAsia"/>
                      <w:kern w:val="0"/>
                      <w:sz w:val="21"/>
                      <w:szCs w:val="20"/>
                    </w:rPr>
                    <w:t>刨片、筛分、锯边、截边</w:t>
                  </w:r>
                </w:p>
              </w:tc>
              <w:tc>
                <w:tcPr>
                  <w:tcW w:w="1548" w:type="dxa"/>
                  <w:vAlign w:val="center"/>
                </w:tcPr>
                <w:p>
                  <w:pPr>
                    <w:widowControl/>
                    <w:adjustRightInd w:val="0"/>
                    <w:snapToGrid w:val="0"/>
                    <w:spacing w:line="360" w:lineRule="exact"/>
                    <w:jc w:val="center"/>
                    <w:rPr>
                      <w:kern w:val="0"/>
                      <w:sz w:val="21"/>
                    </w:rPr>
                  </w:pPr>
                  <w:r>
                    <w:rPr>
                      <w:rFonts w:hint="eastAsia"/>
                      <w:kern w:val="0"/>
                      <w:sz w:val="21"/>
                    </w:rPr>
                    <w:t>排气筒DA</w:t>
                  </w:r>
                  <w:r>
                    <w:rPr>
                      <w:kern w:val="0"/>
                      <w:sz w:val="21"/>
                    </w:rPr>
                    <w:t>004</w:t>
                  </w:r>
                </w:p>
              </w:tc>
              <w:tc>
                <w:tcPr>
                  <w:tcW w:w="1548" w:type="dxa"/>
                  <w:vAlign w:val="center"/>
                </w:tcPr>
                <w:p>
                  <w:pPr>
                    <w:widowControl/>
                    <w:adjustRightInd w:val="0"/>
                    <w:snapToGrid w:val="0"/>
                    <w:spacing w:line="360" w:lineRule="exact"/>
                    <w:jc w:val="center"/>
                    <w:rPr>
                      <w:kern w:val="0"/>
                      <w:sz w:val="21"/>
                      <w:szCs w:val="21"/>
                    </w:rPr>
                  </w:pPr>
                  <w:r>
                    <w:rPr>
                      <w:rFonts w:hint="eastAsia"/>
                      <w:kern w:val="0"/>
                      <w:sz w:val="21"/>
                      <w:szCs w:val="21"/>
                    </w:rPr>
                    <w:t>颗粒物</w:t>
                  </w:r>
                </w:p>
              </w:tc>
              <w:tc>
                <w:tcPr>
                  <w:tcW w:w="1386" w:type="dxa"/>
                  <w:vAlign w:val="center"/>
                </w:tcPr>
                <w:p>
                  <w:pPr>
                    <w:widowControl/>
                    <w:adjustRightInd w:val="0"/>
                    <w:snapToGrid w:val="0"/>
                    <w:spacing w:line="360" w:lineRule="exact"/>
                    <w:jc w:val="center"/>
                    <w:rPr>
                      <w:kern w:val="0"/>
                      <w:sz w:val="21"/>
                    </w:rPr>
                  </w:pPr>
                  <w:r>
                    <w:rPr>
                      <w:rFonts w:hint="eastAsia"/>
                      <w:kern w:val="0"/>
                      <w:sz w:val="21"/>
                    </w:rPr>
                    <w:t>1次/年</w:t>
                  </w:r>
                </w:p>
              </w:tc>
              <w:tc>
                <w:tcPr>
                  <w:tcW w:w="2286" w:type="dxa"/>
                  <w:vMerge w:val="continue"/>
                  <w:vAlign w:val="center"/>
                </w:tcPr>
                <w:p>
                  <w:pPr>
                    <w:widowControl/>
                    <w:adjustRightInd w:val="0"/>
                    <w:snapToGrid w:val="0"/>
                    <w:spacing w:line="360" w:lineRule="exact"/>
                    <w:jc w:val="center"/>
                    <w:rPr>
                      <w:kern w:val="0"/>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72" w:hRule="atLeast"/>
              </w:trPr>
              <w:tc>
                <w:tcPr>
                  <w:tcW w:w="1547" w:type="dxa"/>
                  <w:vMerge w:val="restart"/>
                  <w:vAlign w:val="center"/>
                </w:tcPr>
                <w:p>
                  <w:pPr>
                    <w:widowControl/>
                    <w:adjustRightInd w:val="0"/>
                    <w:snapToGrid w:val="0"/>
                    <w:spacing w:line="360" w:lineRule="exact"/>
                    <w:jc w:val="center"/>
                    <w:rPr>
                      <w:kern w:val="0"/>
                      <w:sz w:val="21"/>
                    </w:rPr>
                  </w:pPr>
                  <w:r>
                    <w:rPr>
                      <w:rFonts w:hint="eastAsia"/>
                      <w:kern w:val="0"/>
                      <w:sz w:val="21"/>
                      <w:szCs w:val="20"/>
                    </w:rPr>
                    <w:t>施胶、铺装、预压、热压</w:t>
                  </w:r>
                </w:p>
              </w:tc>
              <w:tc>
                <w:tcPr>
                  <w:tcW w:w="1548" w:type="dxa"/>
                  <w:vMerge w:val="restart"/>
                  <w:vAlign w:val="center"/>
                </w:tcPr>
                <w:p>
                  <w:pPr>
                    <w:widowControl/>
                    <w:adjustRightInd w:val="0"/>
                    <w:snapToGrid w:val="0"/>
                    <w:spacing w:line="360" w:lineRule="exact"/>
                    <w:jc w:val="center"/>
                    <w:rPr>
                      <w:kern w:val="0"/>
                      <w:sz w:val="21"/>
                    </w:rPr>
                  </w:pPr>
                  <w:r>
                    <w:rPr>
                      <w:rFonts w:hint="eastAsia"/>
                      <w:kern w:val="0"/>
                      <w:sz w:val="21"/>
                    </w:rPr>
                    <w:t>排气筒DA</w:t>
                  </w:r>
                  <w:r>
                    <w:rPr>
                      <w:kern w:val="0"/>
                      <w:sz w:val="21"/>
                    </w:rPr>
                    <w:t>005</w:t>
                  </w:r>
                </w:p>
              </w:tc>
              <w:tc>
                <w:tcPr>
                  <w:tcW w:w="1548" w:type="dxa"/>
                  <w:vAlign w:val="center"/>
                </w:tcPr>
                <w:p>
                  <w:pPr>
                    <w:widowControl/>
                    <w:adjustRightInd w:val="0"/>
                    <w:snapToGrid w:val="0"/>
                    <w:spacing w:line="360" w:lineRule="exact"/>
                    <w:jc w:val="center"/>
                    <w:rPr>
                      <w:kern w:val="0"/>
                      <w:sz w:val="21"/>
                      <w:szCs w:val="21"/>
                    </w:rPr>
                  </w:pPr>
                  <w:r>
                    <w:rPr>
                      <w:rFonts w:hint="eastAsia"/>
                      <w:kern w:val="0"/>
                      <w:sz w:val="21"/>
                      <w:szCs w:val="21"/>
                    </w:rPr>
                    <w:t>VOCs</w:t>
                  </w:r>
                </w:p>
              </w:tc>
              <w:tc>
                <w:tcPr>
                  <w:tcW w:w="1386" w:type="dxa"/>
                  <w:vAlign w:val="center"/>
                </w:tcPr>
                <w:p>
                  <w:pPr>
                    <w:widowControl/>
                    <w:adjustRightInd w:val="0"/>
                    <w:snapToGrid w:val="0"/>
                    <w:spacing w:line="360" w:lineRule="exact"/>
                    <w:jc w:val="center"/>
                    <w:rPr>
                      <w:kern w:val="0"/>
                      <w:sz w:val="21"/>
                    </w:rPr>
                  </w:pPr>
                  <w:r>
                    <w:rPr>
                      <w:rFonts w:hint="eastAsia"/>
                      <w:kern w:val="0"/>
                      <w:sz w:val="21"/>
                    </w:rPr>
                    <w:t>1次/年</w:t>
                  </w:r>
                </w:p>
              </w:tc>
              <w:tc>
                <w:tcPr>
                  <w:tcW w:w="2286" w:type="dxa"/>
                  <w:vMerge w:val="continue"/>
                  <w:vAlign w:val="center"/>
                </w:tcPr>
                <w:p>
                  <w:pPr>
                    <w:widowControl/>
                    <w:adjustRightInd w:val="0"/>
                    <w:snapToGrid w:val="0"/>
                    <w:spacing w:line="360" w:lineRule="exact"/>
                    <w:jc w:val="center"/>
                    <w:rPr>
                      <w:kern w:val="0"/>
                      <w:sz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547" w:type="dxa"/>
                  <w:vMerge w:val="continue"/>
                  <w:vAlign w:val="center"/>
                </w:tcPr>
                <w:p>
                  <w:pPr>
                    <w:widowControl/>
                    <w:adjustRightInd w:val="0"/>
                    <w:snapToGrid w:val="0"/>
                    <w:spacing w:line="360" w:lineRule="exact"/>
                    <w:jc w:val="center"/>
                    <w:rPr>
                      <w:kern w:val="0"/>
                      <w:sz w:val="21"/>
                    </w:rPr>
                  </w:pPr>
                </w:p>
              </w:tc>
              <w:tc>
                <w:tcPr>
                  <w:tcW w:w="1548" w:type="dxa"/>
                  <w:vMerge w:val="continue"/>
                  <w:vAlign w:val="center"/>
                </w:tcPr>
                <w:p>
                  <w:pPr>
                    <w:widowControl/>
                    <w:adjustRightInd w:val="0"/>
                    <w:snapToGrid w:val="0"/>
                    <w:spacing w:line="360" w:lineRule="exact"/>
                    <w:jc w:val="center"/>
                    <w:rPr>
                      <w:kern w:val="0"/>
                      <w:sz w:val="21"/>
                    </w:rPr>
                  </w:pPr>
                </w:p>
              </w:tc>
              <w:tc>
                <w:tcPr>
                  <w:tcW w:w="1548" w:type="dxa"/>
                  <w:vAlign w:val="center"/>
                </w:tcPr>
                <w:p>
                  <w:pPr>
                    <w:widowControl/>
                    <w:adjustRightInd w:val="0"/>
                    <w:snapToGrid w:val="0"/>
                    <w:spacing w:line="360" w:lineRule="exact"/>
                    <w:jc w:val="center"/>
                    <w:rPr>
                      <w:kern w:val="0"/>
                      <w:sz w:val="21"/>
                      <w:szCs w:val="21"/>
                    </w:rPr>
                  </w:pPr>
                  <w:r>
                    <w:rPr>
                      <w:rFonts w:hint="eastAsia"/>
                      <w:kern w:val="0"/>
                      <w:sz w:val="21"/>
                      <w:szCs w:val="21"/>
                    </w:rPr>
                    <w:t>甲醛</w:t>
                  </w:r>
                </w:p>
              </w:tc>
              <w:tc>
                <w:tcPr>
                  <w:tcW w:w="1386" w:type="dxa"/>
                  <w:vAlign w:val="center"/>
                </w:tcPr>
                <w:p>
                  <w:pPr>
                    <w:widowControl/>
                    <w:adjustRightInd w:val="0"/>
                    <w:snapToGrid w:val="0"/>
                    <w:spacing w:line="360" w:lineRule="exact"/>
                    <w:jc w:val="center"/>
                    <w:rPr>
                      <w:kern w:val="0"/>
                      <w:sz w:val="21"/>
                    </w:rPr>
                  </w:pPr>
                  <w:r>
                    <w:rPr>
                      <w:rFonts w:hint="eastAsia"/>
                      <w:kern w:val="0"/>
                      <w:sz w:val="21"/>
                    </w:rPr>
                    <w:t>1次/年</w:t>
                  </w:r>
                </w:p>
              </w:tc>
              <w:tc>
                <w:tcPr>
                  <w:tcW w:w="2286" w:type="dxa"/>
                  <w:vMerge w:val="continue"/>
                  <w:vAlign w:val="center"/>
                </w:tcPr>
                <w:p>
                  <w:pPr>
                    <w:widowControl/>
                    <w:adjustRightInd w:val="0"/>
                    <w:snapToGrid w:val="0"/>
                    <w:spacing w:line="360" w:lineRule="exact"/>
                    <w:jc w:val="center"/>
                    <w:rPr>
                      <w:kern w:val="0"/>
                      <w:sz w:val="21"/>
                    </w:rPr>
                  </w:pPr>
                </w:p>
              </w:tc>
            </w:tr>
          </w:tbl>
          <w:p>
            <w:pPr>
              <w:adjustRightInd w:val="0"/>
              <w:snapToGrid w:val="0"/>
              <w:spacing w:before="120" w:beforeLines="50" w:line="360" w:lineRule="auto"/>
              <w:jc w:val="center"/>
              <w:rPr>
                <w:b/>
                <w:kern w:val="36"/>
                <w:sz w:val="21"/>
              </w:rPr>
            </w:pPr>
            <w:r>
              <w:rPr>
                <w:b/>
                <w:kern w:val="36"/>
                <w:sz w:val="21"/>
              </w:rPr>
              <w:t>表 4-13 无组织废气监测方案</w:t>
            </w:r>
          </w:p>
          <w:tbl>
            <w:tblPr>
              <w:tblStyle w:val="51"/>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9"/>
              <w:gridCol w:w="1329"/>
              <w:gridCol w:w="1229"/>
              <w:gridCol w:w="1230"/>
              <w:gridCol w:w="34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9" w:type="pct"/>
                  <w:vAlign w:val="center"/>
                </w:tcPr>
                <w:p>
                  <w:pPr>
                    <w:widowControl/>
                    <w:adjustRightInd w:val="0"/>
                    <w:snapToGrid w:val="0"/>
                    <w:spacing w:line="360" w:lineRule="exact"/>
                    <w:jc w:val="center"/>
                    <w:rPr>
                      <w:b/>
                      <w:kern w:val="0"/>
                      <w:sz w:val="21"/>
                    </w:rPr>
                  </w:pPr>
                  <w:r>
                    <w:rPr>
                      <w:b/>
                      <w:kern w:val="0"/>
                      <w:sz w:val="21"/>
                    </w:rPr>
                    <w:t>监测点位</w:t>
                  </w:r>
                </w:p>
              </w:tc>
              <w:tc>
                <w:tcPr>
                  <w:tcW w:w="807" w:type="pct"/>
                </w:tcPr>
                <w:p>
                  <w:pPr>
                    <w:widowControl/>
                    <w:adjustRightInd w:val="0"/>
                    <w:snapToGrid w:val="0"/>
                    <w:spacing w:line="360" w:lineRule="exact"/>
                    <w:jc w:val="center"/>
                    <w:rPr>
                      <w:b/>
                      <w:kern w:val="0"/>
                      <w:sz w:val="21"/>
                    </w:rPr>
                  </w:pPr>
                  <w:r>
                    <w:rPr>
                      <w:b/>
                      <w:kern w:val="0"/>
                      <w:sz w:val="21"/>
                    </w:rPr>
                    <w:t>监测点数量</w:t>
                  </w:r>
                </w:p>
              </w:tc>
              <w:tc>
                <w:tcPr>
                  <w:tcW w:w="746" w:type="pct"/>
                  <w:vAlign w:val="center"/>
                </w:tcPr>
                <w:p>
                  <w:pPr>
                    <w:widowControl/>
                    <w:adjustRightInd w:val="0"/>
                    <w:snapToGrid w:val="0"/>
                    <w:spacing w:line="360" w:lineRule="exact"/>
                    <w:jc w:val="center"/>
                    <w:rPr>
                      <w:b/>
                      <w:kern w:val="0"/>
                      <w:sz w:val="21"/>
                    </w:rPr>
                  </w:pPr>
                  <w:r>
                    <w:rPr>
                      <w:b/>
                      <w:kern w:val="0"/>
                      <w:sz w:val="21"/>
                    </w:rPr>
                    <w:t>监测指标</w:t>
                  </w:r>
                </w:p>
              </w:tc>
              <w:tc>
                <w:tcPr>
                  <w:tcW w:w="747" w:type="pct"/>
                  <w:vAlign w:val="center"/>
                </w:tcPr>
                <w:p>
                  <w:pPr>
                    <w:widowControl/>
                    <w:adjustRightInd w:val="0"/>
                    <w:snapToGrid w:val="0"/>
                    <w:spacing w:line="360" w:lineRule="exact"/>
                    <w:jc w:val="center"/>
                    <w:rPr>
                      <w:b/>
                      <w:kern w:val="0"/>
                      <w:sz w:val="21"/>
                    </w:rPr>
                  </w:pPr>
                  <w:r>
                    <w:rPr>
                      <w:b/>
                      <w:kern w:val="0"/>
                      <w:sz w:val="21"/>
                    </w:rPr>
                    <w:t>监测频次</w:t>
                  </w:r>
                </w:p>
              </w:tc>
              <w:tc>
                <w:tcPr>
                  <w:tcW w:w="2081" w:type="pct"/>
                  <w:vAlign w:val="center"/>
                </w:tcPr>
                <w:p>
                  <w:pPr>
                    <w:widowControl/>
                    <w:adjustRightInd w:val="0"/>
                    <w:snapToGrid w:val="0"/>
                    <w:spacing w:line="360" w:lineRule="exact"/>
                    <w:jc w:val="center"/>
                    <w:rPr>
                      <w:b/>
                      <w:kern w:val="0"/>
                      <w:sz w:val="21"/>
                    </w:rPr>
                  </w:pPr>
                  <w:r>
                    <w:rPr>
                      <w:b/>
                      <w:kern w:val="0"/>
                      <w:sz w:val="21"/>
                    </w:rPr>
                    <w:t>排放执行标准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619" w:type="pct"/>
                  <w:vAlign w:val="center"/>
                </w:tcPr>
                <w:p>
                  <w:pPr>
                    <w:widowControl/>
                    <w:adjustRightInd w:val="0"/>
                    <w:snapToGrid w:val="0"/>
                    <w:spacing w:line="360" w:lineRule="exact"/>
                    <w:jc w:val="center"/>
                    <w:rPr>
                      <w:kern w:val="0"/>
                      <w:sz w:val="21"/>
                    </w:rPr>
                  </w:pPr>
                  <w:r>
                    <w:rPr>
                      <w:kern w:val="0"/>
                      <w:sz w:val="21"/>
                    </w:rPr>
                    <w:t>厂界上风向</w:t>
                  </w:r>
                </w:p>
              </w:tc>
              <w:tc>
                <w:tcPr>
                  <w:tcW w:w="807" w:type="pct"/>
                  <w:vAlign w:val="center"/>
                </w:tcPr>
                <w:p>
                  <w:pPr>
                    <w:widowControl/>
                    <w:adjustRightInd w:val="0"/>
                    <w:snapToGrid w:val="0"/>
                    <w:spacing w:line="360" w:lineRule="exact"/>
                    <w:jc w:val="center"/>
                    <w:rPr>
                      <w:kern w:val="0"/>
                      <w:sz w:val="21"/>
                    </w:rPr>
                  </w:pPr>
                  <w:r>
                    <w:rPr>
                      <w:kern w:val="0"/>
                      <w:sz w:val="21"/>
                    </w:rPr>
                    <w:t>1个</w:t>
                  </w:r>
                </w:p>
              </w:tc>
              <w:tc>
                <w:tcPr>
                  <w:tcW w:w="746" w:type="pct"/>
                  <w:vMerge w:val="restart"/>
                  <w:vAlign w:val="center"/>
                </w:tcPr>
                <w:p>
                  <w:pPr>
                    <w:widowControl/>
                    <w:adjustRightInd w:val="0"/>
                    <w:snapToGrid w:val="0"/>
                    <w:spacing w:line="360" w:lineRule="exact"/>
                    <w:jc w:val="center"/>
                    <w:rPr>
                      <w:kern w:val="0"/>
                      <w:sz w:val="21"/>
                    </w:rPr>
                  </w:pPr>
                  <w:r>
                    <w:rPr>
                      <w:rFonts w:hint="eastAsia"/>
                      <w:kern w:val="0"/>
                      <w:sz w:val="21"/>
                    </w:rPr>
                    <w:t>颗粒物</w:t>
                  </w:r>
                </w:p>
                <w:p>
                  <w:pPr>
                    <w:widowControl/>
                    <w:adjustRightInd w:val="0"/>
                    <w:snapToGrid w:val="0"/>
                    <w:spacing w:line="360" w:lineRule="exact"/>
                    <w:jc w:val="center"/>
                    <w:rPr>
                      <w:kern w:val="0"/>
                      <w:sz w:val="21"/>
                    </w:rPr>
                  </w:pPr>
                  <w:r>
                    <w:rPr>
                      <w:kern w:val="0"/>
                      <w:sz w:val="21"/>
                    </w:rPr>
                    <w:t>VOCs</w:t>
                  </w:r>
                </w:p>
                <w:p>
                  <w:pPr>
                    <w:widowControl/>
                    <w:adjustRightInd w:val="0"/>
                    <w:snapToGrid w:val="0"/>
                    <w:spacing w:line="360" w:lineRule="exact"/>
                    <w:jc w:val="center"/>
                    <w:rPr>
                      <w:kern w:val="0"/>
                      <w:sz w:val="21"/>
                    </w:rPr>
                  </w:pPr>
                  <w:r>
                    <w:rPr>
                      <w:rFonts w:hint="eastAsia"/>
                      <w:kern w:val="0"/>
                      <w:sz w:val="21"/>
                    </w:rPr>
                    <w:t>甲醛</w:t>
                  </w:r>
                </w:p>
              </w:tc>
              <w:tc>
                <w:tcPr>
                  <w:tcW w:w="747" w:type="pct"/>
                  <w:vMerge w:val="restart"/>
                  <w:vAlign w:val="center"/>
                </w:tcPr>
                <w:p>
                  <w:pPr>
                    <w:widowControl/>
                    <w:adjustRightInd w:val="0"/>
                    <w:snapToGrid w:val="0"/>
                    <w:spacing w:line="360" w:lineRule="exact"/>
                    <w:jc w:val="center"/>
                    <w:rPr>
                      <w:kern w:val="0"/>
                      <w:sz w:val="21"/>
                    </w:rPr>
                  </w:pPr>
                  <w:r>
                    <w:rPr>
                      <w:kern w:val="0"/>
                      <w:sz w:val="21"/>
                    </w:rPr>
                    <w:t>1次/年</w:t>
                  </w:r>
                </w:p>
              </w:tc>
              <w:tc>
                <w:tcPr>
                  <w:tcW w:w="2081" w:type="pct"/>
                  <w:vMerge w:val="restart"/>
                  <w:vAlign w:val="center"/>
                </w:tcPr>
                <w:p>
                  <w:pPr>
                    <w:widowControl/>
                    <w:adjustRightInd w:val="0"/>
                    <w:snapToGrid w:val="0"/>
                    <w:spacing w:line="360" w:lineRule="exact"/>
                    <w:jc w:val="center"/>
                    <w:rPr>
                      <w:kern w:val="0"/>
                      <w:sz w:val="21"/>
                    </w:rPr>
                  </w:pPr>
                  <w:r>
                    <w:rPr>
                      <w:rFonts w:hint="eastAsia"/>
                      <w:kern w:val="0"/>
                      <w:sz w:val="21"/>
                    </w:rPr>
                    <w:t>《大气污染物综合排放标准》（GB16297-1996）</w:t>
                  </w:r>
                </w:p>
                <w:p>
                  <w:pPr>
                    <w:widowControl/>
                    <w:adjustRightInd w:val="0"/>
                    <w:snapToGrid w:val="0"/>
                    <w:spacing w:line="360" w:lineRule="exact"/>
                    <w:jc w:val="center"/>
                    <w:rPr>
                      <w:kern w:val="0"/>
                      <w:sz w:val="21"/>
                    </w:rPr>
                  </w:pPr>
                  <w:r>
                    <w:rPr>
                      <w:rFonts w:hint="eastAsia"/>
                      <w:kern w:val="0"/>
                      <w:sz w:val="21"/>
                      <w:szCs w:val="21"/>
                    </w:rPr>
                    <w:t>《挥发性有机物无组织排放控制标准》（GB37822-2019）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619" w:type="pct"/>
                  <w:vAlign w:val="center"/>
                </w:tcPr>
                <w:p>
                  <w:pPr>
                    <w:widowControl/>
                    <w:adjustRightInd w:val="0"/>
                    <w:snapToGrid w:val="0"/>
                    <w:spacing w:line="360" w:lineRule="exact"/>
                    <w:jc w:val="center"/>
                    <w:rPr>
                      <w:kern w:val="0"/>
                      <w:sz w:val="21"/>
                    </w:rPr>
                  </w:pPr>
                  <w:r>
                    <w:rPr>
                      <w:kern w:val="0"/>
                      <w:sz w:val="21"/>
                    </w:rPr>
                    <w:t>厂界下风向</w:t>
                  </w:r>
                </w:p>
              </w:tc>
              <w:tc>
                <w:tcPr>
                  <w:tcW w:w="807" w:type="pct"/>
                  <w:vAlign w:val="center"/>
                </w:tcPr>
                <w:p>
                  <w:pPr>
                    <w:widowControl/>
                    <w:adjustRightInd w:val="0"/>
                    <w:snapToGrid w:val="0"/>
                    <w:spacing w:line="360" w:lineRule="exact"/>
                    <w:jc w:val="center"/>
                    <w:rPr>
                      <w:kern w:val="0"/>
                      <w:sz w:val="21"/>
                    </w:rPr>
                  </w:pPr>
                  <w:r>
                    <w:rPr>
                      <w:kern w:val="0"/>
                      <w:sz w:val="21"/>
                    </w:rPr>
                    <w:t>3个</w:t>
                  </w:r>
                </w:p>
              </w:tc>
              <w:tc>
                <w:tcPr>
                  <w:tcW w:w="746" w:type="pct"/>
                  <w:vMerge w:val="continue"/>
                  <w:vAlign w:val="center"/>
                </w:tcPr>
                <w:p>
                  <w:pPr>
                    <w:widowControl/>
                    <w:adjustRightInd w:val="0"/>
                    <w:snapToGrid w:val="0"/>
                    <w:spacing w:line="360" w:lineRule="exact"/>
                    <w:jc w:val="center"/>
                    <w:rPr>
                      <w:kern w:val="0"/>
                      <w:sz w:val="21"/>
                    </w:rPr>
                  </w:pPr>
                </w:p>
              </w:tc>
              <w:tc>
                <w:tcPr>
                  <w:tcW w:w="747" w:type="pct"/>
                  <w:vMerge w:val="continue"/>
                  <w:vAlign w:val="center"/>
                </w:tcPr>
                <w:p>
                  <w:pPr>
                    <w:widowControl/>
                    <w:adjustRightInd w:val="0"/>
                    <w:snapToGrid w:val="0"/>
                    <w:spacing w:line="360" w:lineRule="exact"/>
                    <w:jc w:val="center"/>
                    <w:rPr>
                      <w:kern w:val="0"/>
                      <w:sz w:val="21"/>
                    </w:rPr>
                  </w:pPr>
                </w:p>
              </w:tc>
              <w:tc>
                <w:tcPr>
                  <w:tcW w:w="2081" w:type="pct"/>
                  <w:vMerge w:val="continue"/>
                  <w:vAlign w:val="center"/>
                </w:tcPr>
                <w:p>
                  <w:pPr>
                    <w:widowControl/>
                    <w:adjustRightInd w:val="0"/>
                    <w:snapToGrid w:val="0"/>
                    <w:spacing w:line="360" w:lineRule="exact"/>
                    <w:jc w:val="center"/>
                    <w:rPr>
                      <w:kern w:val="0"/>
                      <w:sz w:val="21"/>
                    </w:rPr>
                  </w:pPr>
                </w:p>
              </w:tc>
            </w:tr>
          </w:tbl>
          <w:p>
            <w:pPr>
              <w:spacing w:before="120" w:beforeLines="50" w:line="360" w:lineRule="auto"/>
              <w:ind w:firstLine="472" w:firstLineChars="196"/>
              <w:rPr>
                <w:b/>
              </w:rPr>
            </w:pPr>
            <w:r>
              <w:rPr>
                <w:rFonts w:hint="eastAsia"/>
                <w:b/>
              </w:rPr>
              <w:t>二</w:t>
            </w:r>
            <w:r>
              <w:rPr>
                <w:b/>
              </w:rPr>
              <w:t>、声环境影响分析</w:t>
            </w:r>
          </w:p>
          <w:p>
            <w:pPr>
              <w:adjustRightInd w:val="0"/>
              <w:snapToGrid w:val="0"/>
              <w:spacing w:line="360" w:lineRule="auto"/>
              <w:ind w:firstLine="482" w:firstLineChars="200"/>
              <w:rPr>
                <w:b/>
              </w:rPr>
            </w:pPr>
            <w:r>
              <w:rPr>
                <w:b/>
              </w:rPr>
              <w:t>1、噪声源强</w:t>
            </w:r>
          </w:p>
          <w:p>
            <w:pPr>
              <w:spacing w:line="360" w:lineRule="auto"/>
              <w:ind w:firstLine="480" w:firstLineChars="200"/>
              <w:rPr>
                <w:lang w:val="en-GB"/>
              </w:rPr>
            </w:pPr>
            <w:r>
              <w:rPr>
                <w:lang w:val="en-GB"/>
              </w:rPr>
              <w:t>拟建项目噪声源主要</w:t>
            </w:r>
            <w:r>
              <w:rPr>
                <w:rFonts w:hint="eastAsia"/>
                <w:lang w:val="en-GB"/>
              </w:rPr>
              <w:t>为设备运行噪声</w:t>
            </w:r>
            <w:r>
              <w:rPr>
                <w:lang w:val="en-GB"/>
              </w:rPr>
              <w:t>，噪声源强80~90dB(A)，通过合理布局，采取室内安装、基础减振等消声措施，经常保养和维护设备，避免设备在不良状态下运行。项目对外界噪声影响较小，各厂界噪声满足《工业企业厂界环境噪声排放标准》(GB12348-2008）3类标准要求。</w:t>
            </w:r>
          </w:p>
          <w:p>
            <w:pPr>
              <w:adjustRightInd w:val="0"/>
              <w:snapToGrid w:val="0"/>
              <w:spacing w:line="360" w:lineRule="auto"/>
              <w:ind w:firstLine="480" w:firstLineChars="200"/>
              <w:rPr>
                <w:kern w:val="0"/>
                <w:lang w:val="zh-CN" w:bidi="zh-CN"/>
              </w:rPr>
            </w:pPr>
            <w:r>
              <w:rPr>
                <w:bCs/>
              </w:rPr>
              <w:t>项目的主要噪声源分布及治理措施情况详见</w:t>
            </w:r>
            <w:r>
              <w:rPr>
                <w:rFonts w:hint="eastAsia"/>
                <w:bCs/>
              </w:rPr>
              <w:t>下表。</w:t>
            </w:r>
          </w:p>
          <w:p>
            <w:pPr>
              <w:pStyle w:val="100"/>
            </w:pPr>
            <w:r>
              <w:t>表</w:t>
            </w:r>
            <w:r>
              <w:rPr>
                <w:rFonts w:hint="eastAsia"/>
              </w:rPr>
              <w:t>4-1</w:t>
            </w:r>
            <w:r>
              <w:t>4 项目主要噪声源一览表</w:t>
            </w:r>
          </w:p>
          <w:tbl>
            <w:tblPr>
              <w:tblStyle w:val="50"/>
              <w:tblW w:w="8189"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7"/>
              <w:gridCol w:w="2707"/>
              <w:gridCol w:w="1575"/>
              <w:gridCol w:w="1575"/>
              <w:gridCol w:w="15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757" w:type="dxa"/>
                  <w:vAlign w:val="center"/>
                </w:tcPr>
                <w:p>
                  <w:pPr>
                    <w:pStyle w:val="215"/>
                    <w:rPr>
                      <w:b/>
                      <w:bCs w:val="0"/>
                    </w:rPr>
                  </w:pPr>
                  <w:r>
                    <w:rPr>
                      <w:b/>
                      <w:bCs w:val="0"/>
                    </w:rPr>
                    <w:t>序号</w:t>
                  </w:r>
                </w:p>
              </w:tc>
              <w:tc>
                <w:tcPr>
                  <w:tcW w:w="2707" w:type="dxa"/>
                  <w:vAlign w:val="center"/>
                </w:tcPr>
                <w:p>
                  <w:pPr>
                    <w:pStyle w:val="215"/>
                    <w:rPr>
                      <w:b/>
                      <w:bCs w:val="0"/>
                    </w:rPr>
                  </w:pPr>
                  <w:r>
                    <w:rPr>
                      <w:b/>
                      <w:bCs w:val="0"/>
                    </w:rPr>
                    <w:t>主要噪声源</w:t>
                  </w:r>
                </w:p>
              </w:tc>
              <w:tc>
                <w:tcPr>
                  <w:tcW w:w="1575" w:type="dxa"/>
                  <w:vAlign w:val="center"/>
                </w:tcPr>
                <w:p>
                  <w:pPr>
                    <w:pStyle w:val="215"/>
                    <w:rPr>
                      <w:b/>
                      <w:bCs w:val="0"/>
                    </w:rPr>
                  </w:pPr>
                  <w:r>
                    <w:rPr>
                      <w:b/>
                      <w:bCs w:val="0"/>
                    </w:rPr>
                    <w:t>单机噪声级dB（A）</w:t>
                  </w:r>
                </w:p>
              </w:tc>
              <w:tc>
                <w:tcPr>
                  <w:tcW w:w="1575" w:type="dxa"/>
                  <w:vAlign w:val="center"/>
                </w:tcPr>
                <w:p>
                  <w:pPr>
                    <w:pStyle w:val="215"/>
                    <w:rPr>
                      <w:b/>
                      <w:bCs w:val="0"/>
                    </w:rPr>
                  </w:pPr>
                  <w:r>
                    <w:rPr>
                      <w:b/>
                      <w:bCs w:val="0"/>
                    </w:rPr>
                    <w:t>控制措施</w:t>
                  </w:r>
                </w:p>
              </w:tc>
              <w:tc>
                <w:tcPr>
                  <w:tcW w:w="1575" w:type="dxa"/>
                </w:tcPr>
                <w:p>
                  <w:pPr>
                    <w:pStyle w:val="215"/>
                    <w:rPr>
                      <w:b/>
                      <w:bCs w:val="0"/>
                    </w:rPr>
                  </w:pPr>
                  <w:r>
                    <w:rPr>
                      <w:b/>
                      <w:bCs w:val="0"/>
                    </w:rPr>
                    <w:t>隔声减震后声级dB（A）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t>1</w:t>
                  </w:r>
                </w:p>
              </w:tc>
              <w:tc>
                <w:tcPr>
                  <w:tcW w:w="2707" w:type="dxa"/>
                  <w:tcBorders>
                    <w:tl2br w:val="nil"/>
                    <w:tr2bl w:val="nil"/>
                  </w:tcBorders>
                  <w:shd w:val="clear" w:color="auto" w:fill="auto"/>
                  <w:vAlign w:val="center"/>
                </w:tcPr>
                <w:p>
                  <w:pPr>
                    <w:pStyle w:val="215"/>
                  </w:pPr>
                  <w:r>
                    <w:rPr>
                      <w:rFonts w:hint="eastAsia"/>
                    </w:rPr>
                    <w:t>旋切与环刨机</w:t>
                  </w:r>
                </w:p>
              </w:tc>
              <w:tc>
                <w:tcPr>
                  <w:tcW w:w="1575" w:type="dxa"/>
                  <w:vAlign w:val="center"/>
                </w:tcPr>
                <w:p>
                  <w:pPr>
                    <w:pStyle w:val="215"/>
                  </w:pPr>
                  <w:r>
                    <w:t>86</w:t>
                  </w:r>
                </w:p>
              </w:tc>
              <w:tc>
                <w:tcPr>
                  <w:tcW w:w="1575" w:type="dxa"/>
                  <w:vMerge w:val="restart"/>
                  <w:vAlign w:val="center"/>
                </w:tcPr>
                <w:p>
                  <w:pPr>
                    <w:pStyle w:val="215"/>
                  </w:pPr>
                  <w:r>
                    <w:t>基础减振、车间隔声、距离衰减</w:t>
                  </w:r>
                </w:p>
                <w:p>
                  <w:pPr>
                    <w:pStyle w:val="215"/>
                  </w:pPr>
                  <w:r>
                    <w:rPr>
                      <w:rFonts w:hint="eastAsia"/>
                    </w:rPr>
                    <w:t>2</w:t>
                  </w:r>
                  <w:r>
                    <w:t>0</w:t>
                  </w:r>
                  <w:r>
                    <w:rPr>
                      <w:rFonts w:hint="eastAsia"/>
                    </w:rPr>
                    <w:t>dB（A）</w:t>
                  </w:r>
                </w:p>
              </w:tc>
              <w:tc>
                <w:tcPr>
                  <w:tcW w:w="1575" w:type="dxa"/>
                  <w:vAlign w:val="center"/>
                </w:tcPr>
                <w:p>
                  <w:pPr>
                    <w:pStyle w:val="215"/>
                  </w:pPr>
                  <w:r>
                    <w:rPr>
                      <w:rFonts w:hint="eastAsia"/>
                    </w:rPr>
                    <w:t>6</w:t>
                  </w:r>
                  <w: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rPr>
                      <w:rFonts w:hint="eastAsia"/>
                    </w:rPr>
                    <w:t>2</w:t>
                  </w:r>
                </w:p>
              </w:tc>
              <w:tc>
                <w:tcPr>
                  <w:tcW w:w="2707" w:type="dxa"/>
                  <w:tcBorders>
                    <w:tl2br w:val="nil"/>
                    <w:tr2bl w:val="nil"/>
                  </w:tcBorders>
                  <w:shd w:val="clear" w:color="auto" w:fill="auto"/>
                  <w:vAlign w:val="center"/>
                </w:tcPr>
                <w:p>
                  <w:pPr>
                    <w:pStyle w:val="215"/>
                  </w:pPr>
                  <w:r>
                    <w:rPr>
                      <w:rFonts w:hint="eastAsia"/>
                    </w:rPr>
                    <w:t>打碎机</w:t>
                  </w:r>
                </w:p>
              </w:tc>
              <w:tc>
                <w:tcPr>
                  <w:tcW w:w="1575" w:type="dxa"/>
                  <w:vAlign w:val="center"/>
                </w:tcPr>
                <w:p>
                  <w:pPr>
                    <w:pStyle w:val="215"/>
                  </w:pPr>
                  <w:r>
                    <w:rPr>
                      <w:rFonts w:hint="eastAsia"/>
                    </w:rPr>
                    <w:t>8</w:t>
                  </w:r>
                  <w:r>
                    <w:t>5</w:t>
                  </w:r>
                </w:p>
              </w:tc>
              <w:tc>
                <w:tcPr>
                  <w:tcW w:w="1575" w:type="dxa"/>
                  <w:vMerge w:val="continue"/>
                  <w:vAlign w:val="center"/>
                </w:tcPr>
                <w:p>
                  <w:pPr>
                    <w:pStyle w:val="215"/>
                  </w:pPr>
                </w:p>
              </w:tc>
              <w:tc>
                <w:tcPr>
                  <w:tcW w:w="1575" w:type="dxa"/>
                  <w:vAlign w:val="center"/>
                </w:tcPr>
                <w:p>
                  <w:pPr>
                    <w:pStyle w:val="215"/>
                  </w:pPr>
                  <w:r>
                    <w:rPr>
                      <w:rFonts w:hint="eastAsia"/>
                    </w:rPr>
                    <w:t>6</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rPr>
                      <w:rFonts w:hint="eastAsia"/>
                    </w:rPr>
                    <w:t>3</w:t>
                  </w:r>
                </w:p>
              </w:tc>
              <w:tc>
                <w:tcPr>
                  <w:tcW w:w="2707" w:type="dxa"/>
                  <w:tcBorders>
                    <w:tl2br w:val="nil"/>
                    <w:tr2bl w:val="nil"/>
                  </w:tcBorders>
                  <w:shd w:val="clear" w:color="auto" w:fill="auto"/>
                  <w:vAlign w:val="center"/>
                </w:tcPr>
                <w:p>
                  <w:pPr>
                    <w:pStyle w:val="215"/>
                  </w:pPr>
                  <w:r>
                    <w:rPr>
                      <w:rFonts w:hint="eastAsia"/>
                    </w:rPr>
                    <w:t>扩张下料式干燥机</w:t>
                  </w:r>
                </w:p>
              </w:tc>
              <w:tc>
                <w:tcPr>
                  <w:tcW w:w="1575" w:type="dxa"/>
                  <w:vAlign w:val="center"/>
                </w:tcPr>
                <w:p>
                  <w:pPr>
                    <w:pStyle w:val="215"/>
                  </w:pPr>
                  <w:r>
                    <w:rPr>
                      <w:rFonts w:hint="eastAsia"/>
                    </w:rPr>
                    <w:t>8</w:t>
                  </w:r>
                  <w:r>
                    <w:t>0</w:t>
                  </w:r>
                </w:p>
              </w:tc>
              <w:tc>
                <w:tcPr>
                  <w:tcW w:w="1575" w:type="dxa"/>
                  <w:vMerge w:val="continue"/>
                  <w:vAlign w:val="center"/>
                </w:tcPr>
                <w:p>
                  <w:pPr>
                    <w:pStyle w:val="215"/>
                  </w:pPr>
                </w:p>
              </w:tc>
              <w:tc>
                <w:tcPr>
                  <w:tcW w:w="1575" w:type="dxa"/>
                  <w:vAlign w:val="center"/>
                </w:tcPr>
                <w:p>
                  <w:pPr>
                    <w:pStyle w:val="215"/>
                  </w:pPr>
                  <w:r>
                    <w:rPr>
                      <w:rFonts w:hint="eastAsia"/>
                    </w:rPr>
                    <w:t>6</w:t>
                  </w:r>
                  <w:r>
                    <w:t>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rPr>
                      <w:rFonts w:hint="eastAsia"/>
                    </w:rPr>
                    <w:t>4</w:t>
                  </w:r>
                </w:p>
              </w:tc>
              <w:tc>
                <w:tcPr>
                  <w:tcW w:w="2707" w:type="dxa"/>
                  <w:tcBorders>
                    <w:tl2br w:val="nil"/>
                    <w:tr2bl w:val="nil"/>
                  </w:tcBorders>
                  <w:shd w:val="clear" w:color="auto" w:fill="auto"/>
                  <w:vAlign w:val="center"/>
                </w:tcPr>
                <w:p>
                  <w:pPr>
                    <w:pStyle w:val="215"/>
                  </w:pPr>
                  <w:r>
                    <w:rPr>
                      <w:rFonts w:hint="eastAsia"/>
                    </w:rPr>
                    <w:t>面料干燥系统与热风除尘系统</w:t>
                  </w:r>
                </w:p>
              </w:tc>
              <w:tc>
                <w:tcPr>
                  <w:tcW w:w="1575" w:type="dxa"/>
                  <w:vAlign w:val="center"/>
                </w:tcPr>
                <w:p>
                  <w:pPr>
                    <w:pStyle w:val="215"/>
                  </w:pPr>
                  <w:r>
                    <w:rPr>
                      <w:rFonts w:hint="eastAsia"/>
                    </w:rPr>
                    <w:t>8</w:t>
                  </w:r>
                  <w:r>
                    <w:t>2</w:t>
                  </w:r>
                </w:p>
              </w:tc>
              <w:tc>
                <w:tcPr>
                  <w:tcW w:w="1575" w:type="dxa"/>
                  <w:vMerge w:val="continue"/>
                  <w:vAlign w:val="center"/>
                </w:tcPr>
                <w:p>
                  <w:pPr>
                    <w:pStyle w:val="215"/>
                  </w:pPr>
                </w:p>
              </w:tc>
              <w:tc>
                <w:tcPr>
                  <w:tcW w:w="1575" w:type="dxa"/>
                  <w:vAlign w:val="center"/>
                </w:tcPr>
                <w:p>
                  <w:pPr>
                    <w:pStyle w:val="215"/>
                  </w:pPr>
                  <w:r>
                    <w:rPr>
                      <w:rFonts w:hint="eastAsia"/>
                    </w:rPr>
                    <w:t>6</w:t>
                  </w:r>
                  <w: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rPr>
                      <w:rFonts w:hint="eastAsia"/>
                    </w:rPr>
                    <w:t>5</w:t>
                  </w:r>
                </w:p>
              </w:tc>
              <w:tc>
                <w:tcPr>
                  <w:tcW w:w="2707" w:type="dxa"/>
                  <w:tcBorders>
                    <w:tl2br w:val="nil"/>
                    <w:tr2bl w:val="nil"/>
                  </w:tcBorders>
                  <w:shd w:val="clear" w:color="auto" w:fill="auto"/>
                  <w:vAlign w:val="center"/>
                </w:tcPr>
                <w:p>
                  <w:pPr>
                    <w:pStyle w:val="215"/>
                  </w:pPr>
                  <w:r>
                    <w:rPr>
                      <w:rFonts w:hint="eastAsia"/>
                    </w:rPr>
                    <w:t>辊筒筛</w:t>
                  </w:r>
                </w:p>
              </w:tc>
              <w:tc>
                <w:tcPr>
                  <w:tcW w:w="1575" w:type="dxa"/>
                  <w:vAlign w:val="center"/>
                </w:tcPr>
                <w:p>
                  <w:pPr>
                    <w:pStyle w:val="215"/>
                  </w:pPr>
                  <w:r>
                    <w:rPr>
                      <w:rFonts w:hint="eastAsia"/>
                    </w:rPr>
                    <w:t>7</w:t>
                  </w:r>
                  <w:r>
                    <w:t>9</w:t>
                  </w:r>
                </w:p>
              </w:tc>
              <w:tc>
                <w:tcPr>
                  <w:tcW w:w="1575" w:type="dxa"/>
                  <w:vMerge w:val="continue"/>
                  <w:vAlign w:val="center"/>
                </w:tcPr>
                <w:p>
                  <w:pPr>
                    <w:pStyle w:val="215"/>
                  </w:pPr>
                </w:p>
              </w:tc>
              <w:tc>
                <w:tcPr>
                  <w:tcW w:w="1575" w:type="dxa"/>
                  <w:vAlign w:val="center"/>
                </w:tcPr>
                <w:p>
                  <w:pPr>
                    <w:pStyle w:val="215"/>
                  </w:pPr>
                  <w:r>
                    <w:rPr>
                      <w:rFonts w:hint="eastAsia"/>
                    </w:rPr>
                    <w:t>5</w:t>
                  </w:r>
                  <w: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rPr>
                      <w:rFonts w:hint="eastAsia"/>
                    </w:rPr>
                    <w:t>6</w:t>
                  </w:r>
                </w:p>
              </w:tc>
              <w:tc>
                <w:tcPr>
                  <w:tcW w:w="2707" w:type="dxa"/>
                  <w:tcBorders>
                    <w:tl2br w:val="nil"/>
                    <w:tr2bl w:val="nil"/>
                  </w:tcBorders>
                  <w:shd w:val="clear" w:color="auto" w:fill="auto"/>
                  <w:vAlign w:val="center"/>
                </w:tcPr>
                <w:p>
                  <w:pPr>
                    <w:pStyle w:val="215"/>
                  </w:pPr>
                  <w:r>
                    <w:rPr>
                      <w:rFonts w:hint="eastAsia"/>
                    </w:rPr>
                    <w:t>计量传动料仓</w:t>
                  </w:r>
                </w:p>
              </w:tc>
              <w:tc>
                <w:tcPr>
                  <w:tcW w:w="1575" w:type="dxa"/>
                  <w:vAlign w:val="center"/>
                </w:tcPr>
                <w:p>
                  <w:pPr>
                    <w:pStyle w:val="215"/>
                  </w:pPr>
                  <w:r>
                    <w:rPr>
                      <w:rFonts w:hint="eastAsia"/>
                    </w:rPr>
                    <w:t>7</w:t>
                  </w:r>
                  <w:r>
                    <w:t>5</w:t>
                  </w:r>
                </w:p>
              </w:tc>
              <w:tc>
                <w:tcPr>
                  <w:tcW w:w="1575" w:type="dxa"/>
                  <w:vMerge w:val="continue"/>
                  <w:vAlign w:val="center"/>
                </w:tcPr>
                <w:p>
                  <w:pPr>
                    <w:pStyle w:val="215"/>
                  </w:pPr>
                </w:p>
              </w:tc>
              <w:tc>
                <w:tcPr>
                  <w:tcW w:w="1575" w:type="dxa"/>
                  <w:vAlign w:val="center"/>
                </w:tcPr>
                <w:p>
                  <w:pPr>
                    <w:pStyle w:val="215"/>
                  </w:pPr>
                  <w:r>
                    <w:rPr>
                      <w:rFonts w:hint="eastAsia"/>
                    </w:rPr>
                    <w:t>5</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rPr>
                      <w:rFonts w:hint="eastAsia"/>
                    </w:rPr>
                    <w:t>7</w:t>
                  </w:r>
                </w:p>
              </w:tc>
              <w:tc>
                <w:tcPr>
                  <w:tcW w:w="2707" w:type="dxa"/>
                  <w:tcBorders>
                    <w:tl2br w:val="nil"/>
                    <w:tr2bl w:val="nil"/>
                  </w:tcBorders>
                  <w:shd w:val="clear" w:color="auto" w:fill="auto"/>
                  <w:vAlign w:val="center"/>
                </w:tcPr>
                <w:p>
                  <w:pPr>
                    <w:pStyle w:val="215"/>
                  </w:pPr>
                  <w:r>
                    <w:rPr>
                      <w:rFonts w:hint="eastAsia"/>
                    </w:rPr>
                    <w:t>大辊筒高效施胶机</w:t>
                  </w:r>
                </w:p>
              </w:tc>
              <w:tc>
                <w:tcPr>
                  <w:tcW w:w="1575" w:type="dxa"/>
                  <w:vAlign w:val="center"/>
                </w:tcPr>
                <w:p>
                  <w:pPr>
                    <w:pStyle w:val="215"/>
                  </w:pPr>
                  <w:r>
                    <w:rPr>
                      <w:rFonts w:hint="eastAsia"/>
                    </w:rPr>
                    <w:t>8</w:t>
                  </w:r>
                  <w:r>
                    <w:t>5</w:t>
                  </w:r>
                </w:p>
              </w:tc>
              <w:tc>
                <w:tcPr>
                  <w:tcW w:w="1575" w:type="dxa"/>
                  <w:vMerge w:val="continue"/>
                  <w:vAlign w:val="center"/>
                </w:tcPr>
                <w:p>
                  <w:pPr>
                    <w:pStyle w:val="215"/>
                  </w:pPr>
                </w:p>
              </w:tc>
              <w:tc>
                <w:tcPr>
                  <w:tcW w:w="1575" w:type="dxa"/>
                  <w:vAlign w:val="center"/>
                </w:tcPr>
                <w:p>
                  <w:pPr>
                    <w:pStyle w:val="215"/>
                  </w:pPr>
                  <w:r>
                    <w:rPr>
                      <w:rFonts w:hint="eastAsia"/>
                    </w:rPr>
                    <w:t>6</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757" w:type="dxa"/>
                  <w:vAlign w:val="center"/>
                </w:tcPr>
                <w:p>
                  <w:pPr>
                    <w:pStyle w:val="215"/>
                  </w:pPr>
                  <w:r>
                    <w:t>8</w:t>
                  </w:r>
                </w:p>
              </w:tc>
              <w:tc>
                <w:tcPr>
                  <w:tcW w:w="2707" w:type="dxa"/>
                  <w:tcBorders>
                    <w:tl2br w:val="nil"/>
                    <w:tr2bl w:val="nil"/>
                  </w:tcBorders>
                  <w:shd w:val="clear" w:color="auto" w:fill="auto"/>
                  <w:vAlign w:val="center"/>
                </w:tcPr>
                <w:p>
                  <w:pPr>
                    <w:pStyle w:val="215"/>
                  </w:pPr>
                  <w:r>
                    <w:rPr>
                      <w:rFonts w:hint="eastAsia"/>
                    </w:rPr>
                    <w:t>专业OSB铺装机</w:t>
                  </w:r>
                </w:p>
              </w:tc>
              <w:tc>
                <w:tcPr>
                  <w:tcW w:w="1575" w:type="dxa"/>
                  <w:vAlign w:val="center"/>
                </w:tcPr>
                <w:p>
                  <w:pPr>
                    <w:pStyle w:val="215"/>
                  </w:pPr>
                  <w:r>
                    <w:t>85</w:t>
                  </w:r>
                </w:p>
              </w:tc>
              <w:tc>
                <w:tcPr>
                  <w:tcW w:w="1575" w:type="dxa"/>
                  <w:vMerge w:val="continue"/>
                </w:tcPr>
                <w:p>
                  <w:pPr>
                    <w:pStyle w:val="215"/>
                  </w:pPr>
                </w:p>
              </w:tc>
              <w:tc>
                <w:tcPr>
                  <w:tcW w:w="1575" w:type="dxa"/>
                  <w:vAlign w:val="center"/>
                </w:tcPr>
                <w:p>
                  <w:pPr>
                    <w:pStyle w:val="215"/>
                  </w:pPr>
                  <w:r>
                    <w:t>65</w:t>
                  </w:r>
                </w:p>
              </w:tc>
            </w:tr>
          </w:tbl>
          <w:p>
            <w:pPr>
              <w:autoSpaceDE w:val="0"/>
              <w:autoSpaceDN w:val="0"/>
              <w:ind w:firstLine="360" w:firstLineChars="150"/>
              <w:jc w:val="left"/>
              <w:rPr>
                <w:kern w:val="0"/>
                <w:lang w:val="zh-CN" w:bidi="zh-CN"/>
              </w:rPr>
            </w:pPr>
          </w:p>
          <w:p>
            <w:pPr>
              <w:autoSpaceDE w:val="0"/>
              <w:autoSpaceDN w:val="0"/>
              <w:ind w:firstLine="360" w:firstLineChars="150"/>
              <w:jc w:val="left"/>
              <w:rPr>
                <w:color w:val="FF0000"/>
                <w:kern w:val="0"/>
                <w:lang w:val="zh-CN" w:bidi="zh-CN"/>
              </w:rPr>
            </w:pPr>
            <w:r>
              <w:rPr>
                <w:rFonts w:hint="eastAsia"/>
                <w:color w:val="FF0000"/>
                <w:kern w:val="0"/>
                <w:lang w:val="zh-CN" w:bidi="zh-CN"/>
              </w:rPr>
              <w:t>（1）根据</w:t>
            </w:r>
            <w:r>
              <w:rPr>
                <w:color w:val="FF0000"/>
                <w:kern w:val="0"/>
                <w:lang w:val="zh-CN" w:bidi="zh-CN"/>
              </w:rPr>
              <w:t>基准预测点噪声级叠加公式</w:t>
            </w:r>
            <w:r>
              <w:rPr>
                <w:rFonts w:hint="eastAsia"/>
                <w:color w:val="FF0000"/>
                <w:kern w:val="0"/>
                <w:lang w:val="zh-CN" w:bidi="zh-CN"/>
              </w:rPr>
              <w:t>，预测基准点噪声值</w:t>
            </w:r>
            <w:r>
              <w:rPr>
                <w:color w:val="FF0000"/>
                <w:kern w:val="0"/>
                <w:lang w:val="zh-CN" w:bidi="zh-CN"/>
              </w:rPr>
              <w:t>：</w:t>
            </w:r>
          </w:p>
          <w:p>
            <w:pPr>
              <w:autoSpaceDE w:val="0"/>
              <w:autoSpaceDN w:val="0"/>
              <w:spacing w:before="77"/>
              <w:ind w:firstLine="1680" w:firstLineChars="800"/>
              <w:rPr>
                <w:color w:val="FF0000"/>
                <w:kern w:val="0"/>
                <w:position w:val="2"/>
                <w:lang w:bidi="zh-CN"/>
              </w:rPr>
            </w:pPr>
            <w:r>
              <w:rPr>
                <w:color w:val="FF0000"/>
                <w:sz w:val="21"/>
                <w:szCs w:val="20"/>
              </w:rPr>
              <w:drawing>
                <wp:inline distT="0" distB="0" distL="0" distR="0">
                  <wp:extent cx="1355090" cy="4095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1415616" cy="427831"/>
                          </a:xfrm>
                          <a:prstGeom prst="rect">
                            <a:avLst/>
                          </a:prstGeom>
                        </pic:spPr>
                      </pic:pic>
                    </a:graphicData>
                  </a:graphic>
                </wp:inline>
              </w:drawing>
            </w:r>
          </w:p>
          <w:p>
            <w:pPr>
              <w:adjustRightInd w:val="0"/>
              <w:snapToGrid w:val="0"/>
              <w:spacing w:line="360" w:lineRule="auto"/>
              <w:ind w:firstLine="1050" w:firstLineChars="500"/>
              <w:rPr>
                <w:color w:val="FF0000"/>
                <w:sz w:val="21"/>
                <w:szCs w:val="21"/>
                <w:lang w:bidi="zh-CN"/>
              </w:rPr>
            </w:pPr>
            <w:r>
              <w:rPr>
                <w:color w:val="FF0000"/>
                <w:sz w:val="21"/>
                <w:szCs w:val="21"/>
                <w:lang w:bidi="zh-CN"/>
              </w:rPr>
              <w:t>式中：Lpe—叠加后总声级，dB(A)。</w:t>
            </w:r>
          </w:p>
          <w:p>
            <w:pPr>
              <w:adjustRightInd w:val="0"/>
              <w:snapToGrid w:val="0"/>
              <w:spacing w:line="360" w:lineRule="auto"/>
              <w:ind w:firstLine="1680" w:firstLineChars="800"/>
              <w:rPr>
                <w:color w:val="FF0000"/>
                <w:sz w:val="21"/>
                <w:szCs w:val="21"/>
                <w:lang w:bidi="zh-CN"/>
              </w:rPr>
            </w:pPr>
            <w:r>
              <w:rPr>
                <w:color w:val="FF0000"/>
                <w:sz w:val="21"/>
                <w:szCs w:val="21"/>
                <w:lang w:bidi="zh-CN"/>
              </w:rPr>
              <w:t>Lpi—i 声源至基准预测点的声级，dB(A)。</w:t>
            </w:r>
          </w:p>
          <w:p>
            <w:pPr>
              <w:adjustRightInd w:val="0"/>
              <w:snapToGrid w:val="0"/>
              <w:spacing w:line="360" w:lineRule="auto"/>
              <w:ind w:firstLine="1680" w:firstLineChars="800"/>
              <w:rPr>
                <w:color w:val="FF0000"/>
                <w:sz w:val="21"/>
                <w:szCs w:val="21"/>
                <w:lang w:bidi="zh-CN"/>
              </w:rPr>
            </w:pPr>
            <w:r>
              <w:rPr>
                <w:color w:val="FF0000"/>
                <w:sz w:val="21"/>
                <w:szCs w:val="21"/>
                <w:lang w:bidi="zh-CN"/>
              </w:rPr>
              <w:t>n—噪声源数目</w:t>
            </w:r>
          </w:p>
          <w:p>
            <w:pPr>
              <w:autoSpaceDE w:val="0"/>
              <w:autoSpaceDN w:val="0"/>
              <w:spacing w:line="360" w:lineRule="auto"/>
              <w:ind w:right="680" w:firstLine="480" w:firstLineChars="200"/>
              <w:jc w:val="left"/>
              <w:rPr>
                <w:bCs/>
                <w:color w:val="FF0000"/>
              </w:rPr>
            </w:pPr>
            <w:r>
              <w:rPr>
                <w:rFonts w:hint="eastAsia"/>
                <w:bCs/>
                <w:color w:val="FF0000"/>
              </w:rPr>
              <w:t>项目基准点噪声值约为72.21</w:t>
            </w:r>
            <w:r>
              <w:rPr>
                <w:bCs/>
                <w:color w:val="FF0000"/>
              </w:rPr>
              <w:t xml:space="preserve"> dB(A)</w:t>
            </w:r>
          </w:p>
          <w:p>
            <w:pPr>
              <w:adjustRightInd w:val="0"/>
              <w:snapToGrid w:val="0"/>
              <w:spacing w:line="360" w:lineRule="auto"/>
              <w:ind w:firstLine="480" w:firstLineChars="200"/>
              <w:rPr>
                <w:color w:val="FF0000"/>
              </w:rPr>
            </w:pPr>
            <w:r>
              <w:rPr>
                <w:rFonts w:hint="eastAsia"/>
                <w:color w:val="FF0000"/>
              </w:rPr>
              <w:t>（2）根据项目</w:t>
            </w:r>
            <w:r>
              <w:rPr>
                <w:color w:val="FF0000"/>
              </w:rPr>
              <w:t>声传播衰减的计算公式</w:t>
            </w:r>
            <w:r>
              <w:rPr>
                <w:rFonts w:hint="eastAsia"/>
                <w:color w:val="FF0000"/>
              </w:rPr>
              <w:t>计算厂界噪声值</w:t>
            </w:r>
            <w:r>
              <w:rPr>
                <w:color w:val="FF0000"/>
              </w:rPr>
              <w:t>：</w:t>
            </w:r>
          </w:p>
          <w:p>
            <w:pPr>
              <w:adjustRightInd w:val="0"/>
              <w:snapToGrid w:val="0"/>
              <w:spacing w:line="360" w:lineRule="auto"/>
              <w:ind w:firstLine="480" w:firstLineChars="200"/>
              <w:jc w:val="center"/>
              <w:rPr>
                <w:color w:val="FF0000"/>
              </w:rPr>
            </w:pPr>
            <w:r>
              <w:rPr>
                <w:color w:val="FF0000"/>
              </w:rPr>
              <w:drawing>
                <wp:inline distT="0" distB="0" distL="0" distR="0">
                  <wp:extent cx="3019425" cy="276225"/>
                  <wp:effectExtent l="0" t="0"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19425" cy="276225"/>
                          </a:xfrm>
                          <a:prstGeom prst="rect">
                            <a:avLst/>
                          </a:prstGeom>
                          <a:noFill/>
                          <a:ln>
                            <a:noFill/>
                          </a:ln>
                        </pic:spPr>
                      </pic:pic>
                    </a:graphicData>
                  </a:graphic>
                </wp:inline>
              </w:drawing>
            </w:r>
          </w:p>
          <w:p>
            <w:pPr>
              <w:adjustRightInd w:val="0"/>
              <w:snapToGrid w:val="0"/>
              <w:spacing w:line="360" w:lineRule="auto"/>
              <w:ind w:firstLine="420" w:firstLineChars="200"/>
              <w:rPr>
                <w:color w:val="FF0000"/>
                <w:sz w:val="21"/>
                <w:szCs w:val="21"/>
              </w:rPr>
            </w:pPr>
            <w:r>
              <w:rPr>
                <w:color w:val="FF0000"/>
                <w:sz w:val="21"/>
                <w:szCs w:val="21"/>
              </w:rPr>
              <w:t>式中：A</w:t>
            </w:r>
            <w:r>
              <w:rPr>
                <w:color w:val="FF0000"/>
                <w:sz w:val="21"/>
                <w:szCs w:val="21"/>
                <w:vertAlign w:val="subscript"/>
              </w:rPr>
              <w:t>div</w:t>
            </w:r>
            <w:r>
              <w:rPr>
                <w:color w:val="FF0000"/>
                <w:sz w:val="21"/>
                <w:szCs w:val="21"/>
              </w:rPr>
              <w:t>——</w:t>
            </w:r>
            <w:r>
              <w:rPr>
                <w:color w:val="FF0000"/>
                <w:sz w:val="21"/>
                <w:szCs w:val="21"/>
                <w:lang w:bidi="zh-CN"/>
              </w:rPr>
              <w:t>声波几何发散引起的 A 声级衰减量，dB，A</w:t>
            </w:r>
            <w:r>
              <w:rPr>
                <w:color w:val="FF0000"/>
                <w:sz w:val="21"/>
                <w:szCs w:val="21"/>
                <w:vertAlign w:val="subscript"/>
                <w:lang w:bidi="zh-CN"/>
              </w:rPr>
              <w:t>div</w:t>
            </w:r>
            <w:r>
              <w:rPr>
                <w:color w:val="FF0000"/>
                <w:sz w:val="21"/>
                <w:szCs w:val="21"/>
                <w:lang w:bidi="zh-CN"/>
              </w:rPr>
              <w:t>=20 lg(r/r</w:t>
            </w:r>
            <w:r>
              <w:rPr>
                <w:color w:val="FF0000"/>
                <w:sz w:val="21"/>
                <w:szCs w:val="21"/>
                <w:vertAlign w:val="subscript"/>
                <w:lang w:bidi="zh-CN"/>
              </w:rPr>
              <w:t>0</w:t>
            </w:r>
            <w:r>
              <w:rPr>
                <w:color w:val="FF0000"/>
                <w:sz w:val="21"/>
                <w:szCs w:val="21"/>
                <w:lang w:bidi="zh-CN"/>
              </w:rPr>
              <w:t>)；</w:t>
            </w:r>
            <w:r>
              <w:rPr>
                <w:color w:val="FF0000"/>
                <w:sz w:val="21"/>
                <w:szCs w:val="21"/>
              </w:rPr>
              <w:t>；</w:t>
            </w:r>
          </w:p>
          <w:p>
            <w:pPr>
              <w:adjustRightInd w:val="0"/>
              <w:snapToGrid w:val="0"/>
              <w:spacing w:line="360" w:lineRule="auto"/>
              <w:ind w:firstLine="1050" w:firstLineChars="500"/>
              <w:rPr>
                <w:color w:val="FF0000"/>
                <w:sz w:val="21"/>
                <w:szCs w:val="21"/>
              </w:rPr>
            </w:pPr>
            <w:r>
              <w:rPr>
                <w:color w:val="FF0000"/>
                <w:sz w:val="21"/>
                <w:szCs w:val="21"/>
              </w:rPr>
              <w:t>A</w:t>
            </w:r>
            <w:r>
              <w:rPr>
                <w:color w:val="FF0000"/>
                <w:sz w:val="21"/>
                <w:szCs w:val="21"/>
                <w:vertAlign w:val="subscript"/>
              </w:rPr>
              <w:t>atm</w:t>
            </w:r>
            <w:r>
              <w:rPr>
                <w:color w:val="FF0000"/>
                <w:sz w:val="21"/>
                <w:szCs w:val="21"/>
              </w:rPr>
              <w:t>——</w:t>
            </w:r>
            <w:r>
              <w:rPr>
                <w:color w:val="FF0000"/>
                <w:sz w:val="21"/>
                <w:szCs w:val="21"/>
                <w:lang w:bidi="zh-CN"/>
              </w:rPr>
              <w:t>空气吸收引起的 A 声级衰减量 dB</w:t>
            </w:r>
            <w:r>
              <w:rPr>
                <w:color w:val="FF0000"/>
                <w:sz w:val="21"/>
                <w:szCs w:val="21"/>
              </w:rPr>
              <w:t>；</w:t>
            </w:r>
          </w:p>
          <w:p>
            <w:pPr>
              <w:adjustRightInd w:val="0"/>
              <w:snapToGrid w:val="0"/>
              <w:spacing w:line="360" w:lineRule="auto"/>
              <w:ind w:firstLine="1050" w:firstLineChars="500"/>
              <w:rPr>
                <w:color w:val="FF0000"/>
                <w:sz w:val="21"/>
                <w:szCs w:val="21"/>
              </w:rPr>
            </w:pPr>
            <w:r>
              <w:rPr>
                <w:color w:val="FF0000"/>
                <w:sz w:val="21"/>
                <w:szCs w:val="21"/>
              </w:rPr>
              <w:t>A</w:t>
            </w:r>
            <w:r>
              <w:rPr>
                <w:color w:val="FF0000"/>
                <w:sz w:val="21"/>
                <w:szCs w:val="21"/>
                <w:vertAlign w:val="subscript"/>
              </w:rPr>
              <w:t>gr</w:t>
            </w:r>
            <w:r>
              <w:rPr>
                <w:color w:val="FF0000"/>
                <w:sz w:val="21"/>
                <w:szCs w:val="21"/>
              </w:rPr>
              <w:t>——</w:t>
            </w:r>
            <w:r>
              <w:rPr>
                <w:color w:val="FF0000"/>
                <w:sz w:val="21"/>
                <w:szCs w:val="21"/>
                <w:lang w:bidi="zh-CN"/>
              </w:rPr>
              <w:t>地面效应引起的倍频带衰减量 dB</w:t>
            </w:r>
            <w:r>
              <w:rPr>
                <w:color w:val="FF0000"/>
                <w:sz w:val="21"/>
                <w:szCs w:val="21"/>
              </w:rPr>
              <w:t>；</w:t>
            </w:r>
          </w:p>
          <w:p>
            <w:pPr>
              <w:adjustRightInd w:val="0"/>
              <w:snapToGrid w:val="0"/>
              <w:spacing w:line="360" w:lineRule="auto"/>
              <w:ind w:firstLine="1050" w:firstLineChars="500"/>
              <w:rPr>
                <w:color w:val="FF0000"/>
                <w:sz w:val="21"/>
                <w:szCs w:val="21"/>
              </w:rPr>
            </w:pPr>
            <w:r>
              <w:rPr>
                <w:color w:val="FF0000"/>
                <w:sz w:val="21"/>
                <w:szCs w:val="21"/>
              </w:rPr>
              <w:t>A</w:t>
            </w:r>
            <w:r>
              <w:rPr>
                <w:color w:val="FF0000"/>
                <w:sz w:val="21"/>
                <w:szCs w:val="21"/>
                <w:vertAlign w:val="subscript"/>
              </w:rPr>
              <w:t>bar</w:t>
            </w:r>
            <w:r>
              <w:rPr>
                <w:color w:val="FF0000"/>
                <w:sz w:val="21"/>
                <w:szCs w:val="21"/>
              </w:rPr>
              <w:t>——</w:t>
            </w:r>
            <w:r>
              <w:rPr>
                <w:color w:val="FF0000"/>
                <w:sz w:val="21"/>
                <w:szCs w:val="21"/>
                <w:lang w:bidi="zh-CN"/>
              </w:rPr>
              <w:t>遮挡物引起的 A 声级衰减量 dB</w:t>
            </w:r>
            <w:r>
              <w:rPr>
                <w:color w:val="FF0000"/>
                <w:sz w:val="21"/>
                <w:szCs w:val="21"/>
              </w:rPr>
              <w:t>；</w:t>
            </w:r>
          </w:p>
          <w:p>
            <w:pPr>
              <w:adjustRightInd w:val="0"/>
              <w:snapToGrid w:val="0"/>
              <w:spacing w:line="360" w:lineRule="auto"/>
              <w:ind w:firstLine="1050" w:firstLineChars="500"/>
              <w:rPr>
                <w:color w:val="FF0000"/>
                <w:sz w:val="21"/>
                <w:szCs w:val="21"/>
              </w:rPr>
            </w:pPr>
            <w:r>
              <w:rPr>
                <w:color w:val="FF0000"/>
                <w:sz w:val="21"/>
                <w:szCs w:val="21"/>
              </w:rPr>
              <w:t>A</w:t>
            </w:r>
            <w:r>
              <w:rPr>
                <w:color w:val="FF0000"/>
                <w:sz w:val="21"/>
                <w:szCs w:val="21"/>
                <w:vertAlign w:val="subscript"/>
              </w:rPr>
              <w:t>misc</w:t>
            </w:r>
            <w:r>
              <w:rPr>
                <w:color w:val="FF0000"/>
                <w:sz w:val="21"/>
                <w:szCs w:val="21"/>
              </w:rPr>
              <w:t>——其他多方面效应引起的衰减。</w:t>
            </w:r>
          </w:p>
          <w:p>
            <w:pPr>
              <w:pStyle w:val="100"/>
              <w:rPr>
                <w:color w:val="FF0000"/>
              </w:rPr>
            </w:pPr>
            <w:r>
              <w:rPr>
                <w:color w:val="FF0000"/>
              </w:rPr>
              <w:t>表</w:t>
            </w:r>
            <w:r>
              <w:rPr>
                <w:rFonts w:hint="eastAsia"/>
                <w:color w:val="FF0000"/>
              </w:rPr>
              <w:t>4-1</w:t>
            </w:r>
            <w:r>
              <w:rPr>
                <w:color w:val="FF0000"/>
              </w:rPr>
              <w:t xml:space="preserve">5 </w:t>
            </w:r>
            <w:r>
              <w:rPr>
                <w:rFonts w:hint="eastAsia"/>
                <w:color w:val="FF0000"/>
              </w:rPr>
              <w:t>厂界噪声值</w:t>
            </w:r>
            <w:r>
              <w:rPr>
                <w:color w:val="FF0000"/>
              </w:rPr>
              <w:t>一览表</w:t>
            </w:r>
          </w:p>
          <w:tbl>
            <w:tblPr>
              <w:tblStyle w:val="50"/>
              <w:tblW w:w="82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30"/>
              <w:gridCol w:w="1433"/>
              <w:gridCol w:w="1486"/>
              <w:gridCol w:w="1883"/>
              <w:gridCol w:w="15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30" w:type="dxa"/>
                  <w:vAlign w:val="center"/>
                </w:tcPr>
                <w:p>
                  <w:pPr>
                    <w:pStyle w:val="215"/>
                    <w:rPr>
                      <w:b/>
                      <w:bCs w:val="0"/>
                      <w:color w:val="FF0000"/>
                    </w:rPr>
                  </w:pPr>
                  <w:r>
                    <w:rPr>
                      <w:b/>
                      <w:bCs w:val="0"/>
                      <w:color w:val="FF0000"/>
                    </w:rPr>
                    <w:t>预测点</w:t>
                  </w:r>
                </w:p>
              </w:tc>
              <w:tc>
                <w:tcPr>
                  <w:tcW w:w="1433" w:type="dxa"/>
                  <w:vAlign w:val="center"/>
                </w:tcPr>
                <w:p>
                  <w:pPr>
                    <w:pStyle w:val="215"/>
                    <w:rPr>
                      <w:b/>
                      <w:bCs w:val="0"/>
                      <w:color w:val="FF0000"/>
                    </w:rPr>
                  </w:pPr>
                  <w:r>
                    <w:rPr>
                      <w:b/>
                      <w:bCs w:val="0"/>
                      <w:color w:val="FF0000"/>
                    </w:rPr>
                    <w:t>东</w:t>
                  </w:r>
                  <w:r>
                    <w:rPr>
                      <w:rFonts w:hint="eastAsia"/>
                      <w:b/>
                      <w:bCs w:val="0"/>
                      <w:color w:val="FF0000"/>
                    </w:rPr>
                    <w:t>南</w:t>
                  </w:r>
                  <w:r>
                    <w:rPr>
                      <w:b/>
                      <w:bCs w:val="0"/>
                      <w:color w:val="FF0000"/>
                    </w:rPr>
                    <w:t>厂界</w:t>
                  </w:r>
                </w:p>
              </w:tc>
              <w:tc>
                <w:tcPr>
                  <w:tcW w:w="1486" w:type="dxa"/>
                  <w:vAlign w:val="center"/>
                </w:tcPr>
                <w:p>
                  <w:pPr>
                    <w:pStyle w:val="215"/>
                    <w:rPr>
                      <w:b/>
                      <w:bCs w:val="0"/>
                      <w:color w:val="FF0000"/>
                    </w:rPr>
                  </w:pPr>
                  <w:r>
                    <w:rPr>
                      <w:rFonts w:hint="eastAsia"/>
                      <w:b/>
                      <w:bCs w:val="0"/>
                      <w:color w:val="FF0000"/>
                    </w:rPr>
                    <w:t>西</w:t>
                  </w:r>
                  <w:r>
                    <w:rPr>
                      <w:b/>
                      <w:bCs w:val="0"/>
                      <w:color w:val="FF0000"/>
                    </w:rPr>
                    <w:t>南厂界</w:t>
                  </w:r>
                </w:p>
              </w:tc>
              <w:tc>
                <w:tcPr>
                  <w:tcW w:w="1883" w:type="dxa"/>
                  <w:vAlign w:val="center"/>
                </w:tcPr>
                <w:p>
                  <w:pPr>
                    <w:pStyle w:val="215"/>
                    <w:rPr>
                      <w:b/>
                      <w:bCs w:val="0"/>
                      <w:color w:val="FF0000"/>
                    </w:rPr>
                  </w:pPr>
                  <w:r>
                    <w:rPr>
                      <w:b/>
                      <w:bCs w:val="0"/>
                      <w:color w:val="FF0000"/>
                    </w:rPr>
                    <w:t>西</w:t>
                  </w:r>
                  <w:r>
                    <w:rPr>
                      <w:rFonts w:hint="eastAsia"/>
                      <w:b/>
                      <w:bCs w:val="0"/>
                      <w:color w:val="FF0000"/>
                    </w:rPr>
                    <w:t>北</w:t>
                  </w:r>
                  <w:r>
                    <w:rPr>
                      <w:b/>
                      <w:bCs w:val="0"/>
                      <w:color w:val="FF0000"/>
                    </w:rPr>
                    <w:t>厂界</w:t>
                  </w:r>
                </w:p>
              </w:tc>
              <w:tc>
                <w:tcPr>
                  <w:tcW w:w="1523" w:type="dxa"/>
                  <w:vAlign w:val="center"/>
                </w:tcPr>
                <w:p>
                  <w:pPr>
                    <w:pStyle w:val="215"/>
                    <w:rPr>
                      <w:b/>
                      <w:bCs w:val="0"/>
                      <w:color w:val="FF0000"/>
                    </w:rPr>
                  </w:pPr>
                  <w:r>
                    <w:rPr>
                      <w:rFonts w:hint="eastAsia"/>
                      <w:b/>
                      <w:bCs w:val="0"/>
                      <w:color w:val="FF0000"/>
                    </w:rPr>
                    <w:t>东</w:t>
                  </w:r>
                  <w:r>
                    <w:rPr>
                      <w:b/>
                      <w:bCs w:val="0"/>
                      <w:color w:val="FF0000"/>
                    </w:rPr>
                    <w:t>北厂界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30" w:type="dxa"/>
                  <w:vAlign w:val="center"/>
                </w:tcPr>
                <w:p>
                  <w:pPr>
                    <w:pStyle w:val="215"/>
                    <w:rPr>
                      <w:color w:val="FF0000"/>
                    </w:rPr>
                  </w:pPr>
                  <w:r>
                    <w:rPr>
                      <w:color w:val="FF0000"/>
                    </w:rPr>
                    <w:t>距离（m）</w:t>
                  </w:r>
                </w:p>
              </w:tc>
              <w:tc>
                <w:tcPr>
                  <w:tcW w:w="1433" w:type="dxa"/>
                  <w:vAlign w:val="center"/>
                </w:tcPr>
                <w:p>
                  <w:pPr>
                    <w:pStyle w:val="215"/>
                    <w:rPr>
                      <w:color w:val="FF0000"/>
                    </w:rPr>
                  </w:pPr>
                  <w:r>
                    <w:rPr>
                      <w:color w:val="FF0000"/>
                    </w:rPr>
                    <w:t>100</w:t>
                  </w:r>
                </w:p>
              </w:tc>
              <w:tc>
                <w:tcPr>
                  <w:tcW w:w="1486" w:type="dxa"/>
                  <w:vAlign w:val="center"/>
                </w:tcPr>
                <w:p>
                  <w:pPr>
                    <w:pStyle w:val="215"/>
                    <w:rPr>
                      <w:color w:val="FF0000"/>
                    </w:rPr>
                  </w:pPr>
                  <w:r>
                    <w:rPr>
                      <w:color w:val="FF0000"/>
                    </w:rPr>
                    <w:t>23</w:t>
                  </w:r>
                </w:p>
              </w:tc>
              <w:tc>
                <w:tcPr>
                  <w:tcW w:w="1883" w:type="dxa"/>
                  <w:vAlign w:val="center"/>
                </w:tcPr>
                <w:p>
                  <w:pPr>
                    <w:pStyle w:val="215"/>
                    <w:rPr>
                      <w:color w:val="FF0000"/>
                    </w:rPr>
                  </w:pPr>
                  <w:r>
                    <w:rPr>
                      <w:color w:val="FF0000"/>
                    </w:rPr>
                    <w:t>38</w:t>
                  </w:r>
                </w:p>
              </w:tc>
              <w:tc>
                <w:tcPr>
                  <w:tcW w:w="1523" w:type="dxa"/>
                  <w:vAlign w:val="center"/>
                </w:tcPr>
                <w:p>
                  <w:pPr>
                    <w:pStyle w:val="215"/>
                    <w:rPr>
                      <w:color w:val="FF0000"/>
                    </w:rPr>
                  </w:pPr>
                  <w:r>
                    <w:rPr>
                      <w:color w:val="FF0000"/>
                    </w:rPr>
                    <w:t>40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exact"/>
                <w:jc w:val="center"/>
              </w:trPr>
              <w:tc>
                <w:tcPr>
                  <w:tcW w:w="1930" w:type="dxa"/>
                  <w:vAlign w:val="center"/>
                </w:tcPr>
                <w:p>
                  <w:pPr>
                    <w:pStyle w:val="215"/>
                    <w:rPr>
                      <w:color w:val="FF0000"/>
                    </w:rPr>
                  </w:pPr>
                  <w:r>
                    <w:rPr>
                      <w:rFonts w:hint="eastAsia"/>
                      <w:color w:val="FF0000"/>
                    </w:rPr>
                    <w:t>噪声</w:t>
                  </w:r>
                  <w:r>
                    <w:rPr>
                      <w:color w:val="FF0000"/>
                    </w:rPr>
                    <w:t>值dB（A）</w:t>
                  </w:r>
                </w:p>
              </w:tc>
              <w:tc>
                <w:tcPr>
                  <w:tcW w:w="1433" w:type="dxa"/>
                  <w:vAlign w:val="center"/>
                </w:tcPr>
                <w:p>
                  <w:pPr>
                    <w:pStyle w:val="215"/>
                    <w:rPr>
                      <w:color w:val="FF0000"/>
                    </w:rPr>
                  </w:pPr>
                  <w:r>
                    <w:rPr>
                      <w:rFonts w:hint="eastAsia"/>
                      <w:color w:val="FF0000"/>
                    </w:rPr>
                    <w:t>32.21</w:t>
                  </w:r>
                </w:p>
              </w:tc>
              <w:tc>
                <w:tcPr>
                  <w:tcW w:w="1486" w:type="dxa"/>
                  <w:vAlign w:val="center"/>
                </w:tcPr>
                <w:p>
                  <w:pPr>
                    <w:pStyle w:val="215"/>
                    <w:rPr>
                      <w:color w:val="FF0000"/>
                    </w:rPr>
                  </w:pPr>
                  <w:r>
                    <w:rPr>
                      <w:rFonts w:hint="eastAsia"/>
                      <w:color w:val="FF0000"/>
                    </w:rPr>
                    <w:t>44.97</w:t>
                  </w:r>
                </w:p>
              </w:tc>
              <w:tc>
                <w:tcPr>
                  <w:tcW w:w="1883" w:type="dxa"/>
                  <w:vAlign w:val="center"/>
                </w:tcPr>
                <w:p>
                  <w:pPr>
                    <w:pStyle w:val="215"/>
                    <w:rPr>
                      <w:color w:val="FF0000"/>
                    </w:rPr>
                  </w:pPr>
                  <w:r>
                    <w:rPr>
                      <w:rFonts w:hint="eastAsia"/>
                      <w:color w:val="FF0000"/>
                    </w:rPr>
                    <w:t>40.61</w:t>
                  </w:r>
                </w:p>
              </w:tc>
              <w:tc>
                <w:tcPr>
                  <w:tcW w:w="1523" w:type="dxa"/>
                  <w:vAlign w:val="center"/>
                </w:tcPr>
                <w:p>
                  <w:pPr>
                    <w:pStyle w:val="215"/>
                    <w:rPr>
                      <w:color w:val="FF0000"/>
                    </w:rPr>
                  </w:pPr>
                  <w:r>
                    <w:rPr>
                      <w:rFonts w:hint="eastAsia"/>
                      <w:color w:val="FF0000"/>
                    </w:rPr>
                    <w:t>40.16</w:t>
                  </w:r>
                </w:p>
              </w:tc>
            </w:tr>
          </w:tbl>
          <w:p>
            <w:pPr>
              <w:spacing w:before="120" w:beforeLines="50" w:line="360" w:lineRule="auto"/>
              <w:ind w:firstLine="480" w:firstLineChars="200"/>
              <w:rPr>
                <w:color w:val="FF0000"/>
              </w:rPr>
            </w:pPr>
            <w:r>
              <w:rPr>
                <w:rFonts w:hint="eastAsia"/>
                <w:color w:val="FF0000"/>
              </w:rPr>
              <w:t>（3）叠加现状噪声值</w:t>
            </w:r>
          </w:p>
          <w:p>
            <w:pPr>
              <w:pStyle w:val="100"/>
              <w:rPr>
                <w:color w:val="FF0000"/>
              </w:rPr>
            </w:pPr>
            <w:r>
              <w:rPr>
                <w:color w:val="FF0000"/>
              </w:rPr>
              <w:t>表4-1</w:t>
            </w:r>
            <w:r>
              <w:rPr>
                <w:rFonts w:hint="eastAsia"/>
                <w:color w:val="FF0000"/>
              </w:rPr>
              <w:t>6</w:t>
            </w:r>
            <w:r>
              <w:rPr>
                <w:color w:val="FF0000"/>
              </w:rPr>
              <w:t xml:space="preserve"> 项目主要噪声源至厂界、敏感点预测结果表</w:t>
            </w:r>
          </w:p>
          <w:tbl>
            <w:tblPr>
              <w:tblStyle w:val="50"/>
              <w:tblW w:w="804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790"/>
              <w:gridCol w:w="26"/>
              <w:gridCol w:w="753"/>
              <w:gridCol w:w="780"/>
              <w:gridCol w:w="50"/>
              <w:gridCol w:w="829"/>
              <w:gridCol w:w="829"/>
              <w:gridCol w:w="28"/>
              <w:gridCol w:w="804"/>
              <w:gridCol w:w="830"/>
              <w:gridCol w:w="82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01" w:type="dxa"/>
                  <w:vMerge w:val="restart"/>
                  <w:vAlign w:val="center"/>
                </w:tcPr>
                <w:p>
                  <w:pPr>
                    <w:pStyle w:val="215"/>
                    <w:rPr>
                      <w:b/>
                      <w:bCs w:val="0"/>
                      <w:color w:val="FF0000"/>
                    </w:rPr>
                  </w:pPr>
                  <w:r>
                    <w:rPr>
                      <w:b/>
                      <w:bCs w:val="0"/>
                      <w:color w:val="FF0000"/>
                    </w:rPr>
                    <w:t>声源</w:t>
                  </w:r>
                </w:p>
              </w:tc>
              <w:tc>
                <w:tcPr>
                  <w:tcW w:w="6548" w:type="dxa"/>
                  <w:gridSpan w:val="11"/>
                  <w:vAlign w:val="center"/>
                </w:tcPr>
                <w:p>
                  <w:pPr>
                    <w:pStyle w:val="215"/>
                    <w:rPr>
                      <w:b/>
                      <w:bCs w:val="0"/>
                      <w:color w:val="FF0000"/>
                    </w:rPr>
                  </w:pPr>
                  <w:r>
                    <w:rPr>
                      <w:b/>
                      <w:bCs w:val="0"/>
                      <w:color w:val="FF0000"/>
                    </w:rPr>
                    <w:t>厂界dB（A）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vAlign w:val="center"/>
                </w:tcPr>
                <w:p>
                  <w:pPr>
                    <w:pStyle w:val="215"/>
                    <w:rPr>
                      <w:b/>
                      <w:bCs w:val="0"/>
                      <w:color w:val="FF0000"/>
                    </w:rPr>
                  </w:pPr>
                </w:p>
              </w:tc>
              <w:tc>
                <w:tcPr>
                  <w:tcW w:w="1569" w:type="dxa"/>
                  <w:gridSpan w:val="3"/>
                  <w:vAlign w:val="center"/>
                </w:tcPr>
                <w:p>
                  <w:pPr>
                    <w:pStyle w:val="215"/>
                    <w:rPr>
                      <w:b/>
                      <w:bCs w:val="0"/>
                      <w:color w:val="FF0000"/>
                    </w:rPr>
                  </w:pPr>
                  <w:r>
                    <w:rPr>
                      <w:b/>
                      <w:bCs w:val="0"/>
                      <w:color w:val="FF0000"/>
                    </w:rPr>
                    <w:t>东</w:t>
                  </w:r>
                  <w:r>
                    <w:rPr>
                      <w:rFonts w:hint="eastAsia"/>
                      <w:b/>
                      <w:bCs w:val="0"/>
                      <w:color w:val="FF0000"/>
                    </w:rPr>
                    <w:t>南</w:t>
                  </w:r>
                  <w:r>
                    <w:rPr>
                      <w:b/>
                      <w:bCs w:val="0"/>
                      <w:color w:val="FF0000"/>
                    </w:rPr>
                    <w:t>厂界</w:t>
                  </w:r>
                </w:p>
              </w:tc>
              <w:tc>
                <w:tcPr>
                  <w:tcW w:w="1659" w:type="dxa"/>
                  <w:gridSpan w:val="3"/>
                  <w:vAlign w:val="center"/>
                </w:tcPr>
                <w:p>
                  <w:pPr>
                    <w:pStyle w:val="215"/>
                    <w:rPr>
                      <w:b/>
                      <w:bCs w:val="0"/>
                      <w:color w:val="FF0000"/>
                    </w:rPr>
                  </w:pPr>
                  <w:r>
                    <w:rPr>
                      <w:rFonts w:hint="eastAsia"/>
                      <w:b/>
                      <w:bCs w:val="0"/>
                      <w:color w:val="FF0000"/>
                    </w:rPr>
                    <w:t>西</w:t>
                  </w:r>
                  <w:r>
                    <w:rPr>
                      <w:b/>
                      <w:bCs w:val="0"/>
                      <w:color w:val="FF0000"/>
                    </w:rPr>
                    <w:t>南厂界</w:t>
                  </w:r>
                </w:p>
              </w:tc>
              <w:tc>
                <w:tcPr>
                  <w:tcW w:w="1661" w:type="dxa"/>
                  <w:gridSpan w:val="3"/>
                  <w:vAlign w:val="center"/>
                </w:tcPr>
                <w:p>
                  <w:pPr>
                    <w:pStyle w:val="215"/>
                    <w:rPr>
                      <w:b/>
                      <w:bCs w:val="0"/>
                      <w:color w:val="FF0000"/>
                    </w:rPr>
                  </w:pPr>
                  <w:r>
                    <w:rPr>
                      <w:b/>
                      <w:bCs w:val="0"/>
                      <w:color w:val="FF0000"/>
                    </w:rPr>
                    <w:t>西</w:t>
                  </w:r>
                  <w:r>
                    <w:rPr>
                      <w:rFonts w:hint="eastAsia"/>
                      <w:b/>
                      <w:bCs w:val="0"/>
                      <w:color w:val="FF0000"/>
                    </w:rPr>
                    <w:t>北</w:t>
                  </w:r>
                  <w:r>
                    <w:rPr>
                      <w:b/>
                      <w:bCs w:val="0"/>
                      <w:color w:val="FF0000"/>
                    </w:rPr>
                    <w:t>厂界</w:t>
                  </w:r>
                </w:p>
              </w:tc>
              <w:tc>
                <w:tcPr>
                  <w:tcW w:w="1659" w:type="dxa"/>
                  <w:gridSpan w:val="2"/>
                  <w:vAlign w:val="center"/>
                </w:tcPr>
                <w:p>
                  <w:pPr>
                    <w:pStyle w:val="215"/>
                    <w:rPr>
                      <w:b/>
                      <w:bCs w:val="0"/>
                      <w:color w:val="FF0000"/>
                    </w:rPr>
                  </w:pPr>
                  <w:r>
                    <w:rPr>
                      <w:rFonts w:hint="eastAsia"/>
                      <w:b/>
                      <w:bCs w:val="0"/>
                      <w:color w:val="FF0000"/>
                    </w:rPr>
                    <w:t>东</w:t>
                  </w:r>
                  <w:r>
                    <w:rPr>
                      <w:b/>
                      <w:bCs w:val="0"/>
                      <w:color w:val="FF0000"/>
                    </w:rPr>
                    <w:t>北厂界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vAlign w:val="center"/>
                </w:tcPr>
                <w:p>
                  <w:pPr>
                    <w:pStyle w:val="215"/>
                    <w:rPr>
                      <w:b/>
                      <w:bCs w:val="0"/>
                      <w:color w:val="FF0000"/>
                    </w:rPr>
                  </w:pPr>
                </w:p>
              </w:tc>
              <w:tc>
                <w:tcPr>
                  <w:tcW w:w="816" w:type="dxa"/>
                  <w:gridSpan w:val="2"/>
                  <w:vAlign w:val="center"/>
                </w:tcPr>
                <w:p>
                  <w:pPr>
                    <w:pStyle w:val="215"/>
                    <w:rPr>
                      <w:b/>
                      <w:bCs w:val="0"/>
                      <w:color w:val="FF0000"/>
                    </w:rPr>
                  </w:pPr>
                  <w:r>
                    <w:rPr>
                      <w:b/>
                      <w:bCs w:val="0"/>
                      <w:color w:val="FF0000"/>
                    </w:rPr>
                    <w:t>昼</w:t>
                  </w:r>
                </w:p>
              </w:tc>
              <w:tc>
                <w:tcPr>
                  <w:tcW w:w="753" w:type="dxa"/>
                  <w:vAlign w:val="center"/>
                </w:tcPr>
                <w:p>
                  <w:pPr>
                    <w:pStyle w:val="215"/>
                    <w:rPr>
                      <w:b/>
                      <w:bCs w:val="0"/>
                      <w:color w:val="FF0000"/>
                    </w:rPr>
                  </w:pPr>
                  <w:r>
                    <w:rPr>
                      <w:b/>
                      <w:bCs w:val="0"/>
                      <w:color w:val="FF0000"/>
                    </w:rPr>
                    <w:t>夜</w:t>
                  </w:r>
                </w:p>
              </w:tc>
              <w:tc>
                <w:tcPr>
                  <w:tcW w:w="830" w:type="dxa"/>
                  <w:gridSpan w:val="2"/>
                  <w:vAlign w:val="center"/>
                </w:tcPr>
                <w:p>
                  <w:pPr>
                    <w:pStyle w:val="215"/>
                    <w:rPr>
                      <w:b/>
                      <w:bCs w:val="0"/>
                      <w:color w:val="FF0000"/>
                    </w:rPr>
                  </w:pPr>
                  <w:r>
                    <w:rPr>
                      <w:b/>
                      <w:bCs w:val="0"/>
                      <w:color w:val="FF0000"/>
                    </w:rPr>
                    <w:t>昼</w:t>
                  </w:r>
                </w:p>
              </w:tc>
              <w:tc>
                <w:tcPr>
                  <w:tcW w:w="829" w:type="dxa"/>
                  <w:vAlign w:val="center"/>
                </w:tcPr>
                <w:p>
                  <w:pPr>
                    <w:pStyle w:val="215"/>
                    <w:rPr>
                      <w:b/>
                      <w:bCs w:val="0"/>
                      <w:color w:val="FF0000"/>
                    </w:rPr>
                  </w:pPr>
                  <w:r>
                    <w:rPr>
                      <w:b/>
                      <w:bCs w:val="0"/>
                      <w:color w:val="FF0000"/>
                    </w:rPr>
                    <w:t>夜</w:t>
                  </w:r>
                </w:p>
              </w:tc>
              <w:tc>
                <w:tcPr>
                  <w:tcW w:w="857" w:type="dxa"/>
                  <w:gridSpan w:val="2"/>
                  <w:vAlign w:val="center"/>
                </w:tcPr>
                <w:p>
                  <w:pPr>
                    <w:pStyle w:val="215"/>
                    <w:rPr>
                      <w:b/>
                      <w:bCs w:val="0"/>
                      <w:color w:val="FF0000"/>
                    </w:rPr>
                  </w:pPr>
                  <w:r>
                    <w:rPr>
                      <w:b/>
                      <w:bCs w:val="0"/>
                      <w:color w:val="FF0000"/>
                    </w:rPr>
                    <w:t>昼</w:t>
                  </w:r>
                </w:p>
              </w:tc>
              <w:tc>
                <w:tcPr>
                  <w:tcW w:w="804" w:type="dxa"/>
                  <w:vAlign w:val="center"/>
                </w:tcPr>
                <w:p>
                  <w:pPr>
                    <w:pStyle w:val="215"/>
                    <w:rPr>
                      <w:b/>
                      <w:bCs w:val="0"/>
                      <w:color w:val="FF0000"/>
                    </w:rPr>
                  </w:pPr>
                  <w:r>
                    <w:rPr>
                      <w:b/>
                      <w:bCs w:val="0"/>
                      <w:color w:val="FF0000"/>
                    </w:rPr>
                    <w:t>夜</w:t>
                  </w:r>
                </w:p>
              </w:tc>
              <w:tc>
                <w:tcPr>
                  <w:tcW w:w="830" w:type="dxa"/>
                  <w:vAlign w:val="center"/>
                </w:tcPr>
                <w:p>
                  <w:pPr>
                    <w:pStyle w:val="215"/>
                    <w:rPr>
                      <w:b/>
                      <w:bCs w:val="0"/>
                      <w:color w:val="FF0000"/>
                    </w:rPr>
                  </w:pPr>
                  <w:r>
                    <w:rPr>
                      <w:b/>
                      <w:bCs w:val="0"/>
                      <w:color w:val="FF0000"/>
                    </w:rPr>
                    <w:t>昼</w:t>
                  </w:r>
                </w:p>
              </w:tc>
              <w:tc>
                <w:tcPr>
                  <w:tcW w:w="829" w:type="dxa"/>
                  <w:vAlign w:val="center"/>
                </w:tcPr>
                <w:p>
                  <w:pPr>
                    <w:pStyle w:val="215"/>
                    <w:rPr>
                      <w:b/>
                      <w:bCs w:val="0"/>
                      <w:color w:val="FF0000"/>
                    </w:rPr>
                  </w:pPr>
                  <w:r>
                    <w:rPr>
                      <w:b/>
                      <w:bCs w:val="0"/>
                      <w:color w:val="FF0000"/>
                    </w:rPr>
                    <w:t>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01" w:type="dxa"/>
                  <w:shd w:val="clear" w:color="auto" w:fill="auto"/>
                  <w:vAlign w:val="center"/>
                </w:tcPr>
                <w:p>
                  <w:pPr>
                    <w:pStyle w:val="215"/>
                    <w:rPr>
                      <w:color w:val="FF0000"/>
                    </w:rPr>
                  </w:pPr>
                  <w:r>
                    <w:rPr>
                      <w:rFonts w:hint="eastAsia"/>
                      <w:color w:val="FF0000"/>
                    </w:rPr>
                    <w:t>预测值</w:t>
                  </w:r>
                </w:p>
              </w:tc>
              <w:tc>
                <w:tcPr>
                  <w:tcW w:w="1569" w:type="dxa"/>
                  <w:gridSpan w:val="3"/>
                  <w:vAlign w:val="center"/>
                </w:tcPr>
                <w:p>
                  <w:pPr>
                    <w:pStyle w:val="215"/>
                    <w:rPr>
                      <w:color w:val="FF0000"/>
                    </w:rPr>
                  </w:pPr>
                  <w:r>
                    <w:rPr>
                      <w:rFonts w:hint="eastAsia"/>
                      <w:color w:val="FF0000"/>
                    </w:rPr>
                    <w:t>32.21</w:t>
                  </w:r>
                </w:p>
              </w:tc>
              <w:tc>
                <w:tcPr>
                  <w:tcW w:w="1659" w:type="dxa"/>
                  <w:gridSpan w:val="3"/>
                  <w:vAlign w:val="center"/>
                </w:tcPr>
                <w:p>
                  <w:pPr>
                    <w:pStyle w:val="215"/>
                    <w:rPr>
                      <w:color w:val="FF0000"/>
                    </w:rPr>
                  </w:pPr>
                  <w:r>
                    <w:rPr>
                      <w:rFonts w:hint="eastAsia"/>
                      <w:color w:val="FF0000"/>
                    </w:rPr>
                    <w:t>44.97</w:t>
                  </w:r>
                </w:p>
              </w:tc>
              <w:tc>
                <w:tcPr>
                  <w:tcW w:w="1661" w:type="dxa"/>
                  <w:gridSpan w:val="3"/>
                  <w:vAlign w:val="center"/>
                </w:tcPr>
                <w:p>
                  <w:pPr>
                    <w:pStyle w:val="215"/>
                    <w:rPr>
                      <w:color w:val="FF0000"/>
                    </w:rPr>
                  </w:pPr>
                  <w:r>
                    <w:rPr>
                      <w:rFonts w:hint="eastAsia"/>
                      <w:color w:val="FF0000"/>
                    </w:rPr>
                    <w:t>40.61</w:t>
                  </w:r>
                </w:p>
              </w:tc>
              <w:tc>
                <w:tcPr>
                  <w:tcW w:w="1659" w:type="dxa"/>
                  <w:gridSpan w:val="2"/>
                  <w:vAlign w:val="center"/>
                </w:tcPr>
                <w:p>
                  <w:pPr>
                    <w:pStyle w:val="215"/>
                    <w:rPr>
                      <w:color w:val="FF0000"/>
                    </w:rPr>
                  </w:pPr>
                  <w:r>
                    <w:rPr>
                      <w:rFonts w:hint="eastAsia"/>
                      <w:color w:val="FF0000"/>
                    </w:rPr>
                    <w:t>40.16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01" w:type="dxa"/>
                  <w:shd w:val="clear" w:color="auto" w:fill="auto"/>
                  <w:vAlign w:val="center"/>
                </w:tcPr>
                <w:p>
                  <w:pPr>
                    <w:pStyle w:val="215"/>
                    <w:rPr>
                      <w:color w:val="FF0000"/>
                    </w:rPr>
                  </w:pPr>
                  <w:r>
                    <w:rPr>
                      <w:color w:val="FF0000"/>
                    </w:rPr>
                    <w:t>现状</w:t>
                  </w:r>
                </w:p>
              </w:tc>
              <w:tc>
                <w:tcPr>
                  <w:tcW w:w="790" w:type="dxa"/>
                  <w:vAlign w:val="center"/>
                </w:tcPr>
                <w:p>
                  <w:pPr>
                    <w:pStyle w:val="215"/>
                    <w:rPr>
                      <w:color w:val="FF0000"/>
                    </w:rPr>
                  </w:pPr>
                  <w:r>
                    <w:rPr>
                      <w:rFonts w:hint="eastAsia"/>
                      <w:color w:val="FF0000"/>
                    </w:rPr>
                    <w:t>46</w:t>
                  </w:r>
                </w:p>
              </w:tc>
              <w:tc>
                <w:tcPr>
                  <w:tcW w:w="779" w:type="dxa"/>
                  <w:gridSpan w:val="2"/>
                  <w:vAlign w:val="center"/>
                </w:tcPr>
                <w:p>
                  <w:pPr>
                    <w:pStyle w:val="215"/>
                    <w:rPr>
                      <w:color w:val="FF0000"/>
                    </w:rPr>
                  </w:pPr>
                  <w:r>
                    <w:rPr>
                      <w:rFonts w:hint="eastAsia"/>
                      <w:color w:val="FF0000"/>
                    </w:rPr>
                    <w:t>38</w:t>
                  </w:r>
                </w:p>
              </w:tc>
              <w:tc>
                <w:tcPr>
                  <w:tcW w:w="780" w:type="dxa"/>
                  <w:vAlign w:val="center"/>
                </w:tcPr>
                <w:p>
                  <w:pPr>
                    <w:pStyle w:val="215"/>
                    <w:rPr>
                      <w:color w:val="FF0000"/>
                    </w:rPr>
                  </w:pPr>
                  <w:r>
                    <w:rPr>
                      <w:rFonts w:hint="eastAsia"/>
                      <w:color w:val="FF0000"/>
                    </w:rPr>
                    <w:t>50</w:t>
                  </w:r>
                </w:p>
              </w:tc>
              <w:tc>
                <w:tcPr>
                  <w:tcW w:w="879" w:type="dxa"/>
                  <w:gridSpan w:val="2"/>
                  <w:vAlign w:val="center"/>
                </w:tcPr>
                <w:p>
                  <w:pPr>
                    <w:pStyle w:val="215"/>
                    <w:rPr>
                      <w:color w:val="FF0000"/>
                    </w:rPr>
                  </w:pPr>
                  <w:r>
                    <w:rPr>
                      <w:rFonts w:hint="eastAsia"/>
                      <w:color w:val="FF0000"/>
                    </w:rPr>
                    <w:t>39</w:t>
                  </w:r>
                </w:p>
              </w:tc>
              <w:tc>
                <w:tcPr>
                  <w:tcW w:w="829" w:type="dxa"/>
                  <w:vAlign w:val="center"/>
                </w:tcPr>
                <w:p>
                  <w:pPr>
                    <w:pStyle w:val="215"/>
                    <w:rPr>
                      <w:color w:val="FF0000"/>
                    </w:rPr>
                  </w:pPr>
                  <w:r>
                    <w:rPr>
                      <w:rFonts w:hint="eastAsia"/>
                      <w:color w:val="FF0000"/>
                    </w:rPr>
                    <w:t>46</w:t>
                  </w:r>
                </w:p>
              </w:tc>
              <w:tc>
                <w:tcPr>
                  <w:tcW w:w="832" w:type="dxa"/>
                  <w:gridSpan w:val="2"/>
                  <w:vAlign w:val="center"/>
                </w:tcPr>
                <w:p>
                  <w:pPr>
                    <w:pStyle w:val="215"/>
                    <w:rPr>
                      <w:color w:val="FF0000"/>
                    </w:rPr>
                  </w:pPr>
                  <w:r>
                    <w:rPr>
                      <w:rFonts w:hint="eastAsia"/>
                      <w:color w:val="FF0000"/>
                    </w:rPr>
                    <w:t>38</w:t>
                  </w:r>
                </w:p>
              </w:tc>
              <w:tc>
                <w:tcPr>
                  <w:tcW w:w="830" w:type="dxa"/>
                  <w:vAlign w:val="center"/>
                </w:tcPr>
                <w:p>
                  <w:pPr>
                    <w:pStyle w:val="215"/>
                    <w:rPr>
                      <w:color w:val="FF0000"/>
                    </w:rPr>
                  </w:pPr>
                  <w:r>
                    <w:rPr>
                      <w:rFonts w:hint="eastAsia"/>
                      <w:color w:val="FF0000"/>
                    </w:rPr>
                    <w:t>48</w:t>
                  </w:r>
                </w:p>
              </w:tc>
              <w:tc>
                <w:tcPr>
                  <w:tcW w:w="829" w:type="dxa"/>
                  <w:vAlign w:val="center"/>
                </w:tcPr>
                <w:p>
                  <w:pPr>
                    <w:pStyle w:val="215"/>
                    <w:rPr>
                      <w:color w:val="FF0000"/>
                    </w:rPr>
                  </w:pPr>
                  <w:r>
                    <w:rPr>
                      <w:rFonts w:hint="eastAsia"/>
                      <w:color w:val="FF0000"/>
                    </w:rPr>
                    <w:t>38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501" w:type="dxa"/>
                  <w:shd w:val="clear" w:color="auto" w:fill="auto"/>
                  <w:vAlign w:val="center"/>
                </w:tcPr>
                <w:p>
                  <w:pPr>
                    <w:pStyle w:val="215"/>
                    <w:rPr>
                      <w:color w:val="FF0000"/>
                    </w:rPr>
                  </w:pPr>
                  <w:r>
                    <w:rPr>
                      <w:color w:val="FF0000"/>
                    </w:rPr>
                    <w:t>叠加值</w:t>
                  </w:r>
                </w:p>
              </w:tc>
              <w:tc>
                <w:tcPr>
                  <w:tcW w:w="790" w:type="dxa"/>
                  <w:vAlign w:val="center"/>
                </w:tcPr>
                <w:p>
                  <w:pPr>
                    <w:pStyle w:val="215"/>
                    <w:rPr>
                      <w:color w:val="FF0000"/>
                    </w:rPr>
                  </w:pPr>
                  <w:r>
                    <w:rPr>
                      <w:rFonts w:hint="eastAsia"/>
                      <w:color w:val="FF0000"/>
                    </w:rPr>
                    <w:t>46.18</w:t>
                  </w:r>
                </w:p>
              </w:tc>
              <w:tc>
                <w:tcPr>
                  <w:tcW w:w="779" w:type="dxa"/>
                  <w:gridSpan w:val="2"/>
                  <w:vAlign w:val="center"/>
                </w:tcPr>
                <w:p>
                  <w:pPr>
                    <w:pStyle w:val="215"/>
                    <w:rPr>
                      <w:color w:val="FF0000"/>
                    </w:rPr>
                  </w:pPr>
                  <w:r>
                    <w:rPr>
                      <w:rFonts w:hint="eastAsia"/>
                      <w:color w:val="FF0000"/>
                    </w:rPr>
                    <w:t>39.02</w:t>
                  </w:r>
                </w:p>
              </w:tc>
              <w:tc>
                <w:tcPr>
                  <w:tcW w:w="780" w:type="dxa"/>
                  <w:vAlign w:val="center"/>
                </w:tcPr>
                <w:p>
                  <w:pPr>
                    <w:pStyle w:val="215"/>
                    <w:rPr>
                      <w:color w:val="FF0000"/>
                    </w:rPr>
                  </w:pPr>
                  <w:r>
                    <w:rPr>
                      <w:rFonts w:hint="eastAsia"/>
                      <w:color w:val="FF0000"/>
                    </w:rPr>
                    <w:t>51.19</w:t>
                  </w:r>
                </w:p>
              </w:tc>
              <w:tc>
                <w:tcPr>
                  <w:tcW w:w="879" w:type="dxa"/>
                  <w:gridSpan w:val="2"/>
                  <w:vAlign w:val="center"/>
                </w:tcPr>
                <w:p>
                  <w:pPr>
                    <w:pStyle w:val="215"/>
                    <w:rPr>
                      <w:color w:val="FF0000"/>
                    </w:rPr>
                  </w:pPr>
                  <w:r>
                    <w:rPr>
                      <w:rFonts w:hint="eastAsia"/>
                      <w:color w:val="FF0000"/>
                    </w:rPr>
                    <w:t>45.95</w:t>
                  </w:r>
                </w:p>
              </w:tc>
              <w:tc>
                <w:tcPr>
                  <w:tcW w:w="829" w:type="dxa"/>
                  <w:vAlign w:val="center"/>
                </w:tcPr>
                <w:p>
                  <w:pPr>
                    <w:pStyle w:val="215"/>
                    <w:rPr>
                      <w:color w:val="FF0000"/>
                    </w:rPr>
                  </w:pPr>
                  <w:r>
                    <w:rPr>
                      <w:rFonts w:hint="eastAsia"/>
                      <w:color w:val="FF0000"/>
                    </w:rPr>
                    <w:t>47.1</w:t>
                  </w:r>
                </w:p>
              </w:tc>
              <w:tc>
                <w:tcPr>
                  <w:tcW w:w="832" w:type="dxa"/>
                  <w:gridSpan w:val="2"/>
                  <w:vAlign w:val="center"/>
                </w:tcPr>
                <w:p>
                  <w:pPr>
                    <w:pStyle w:val="215"/>
                    <w:rPr>
                      <w:color w:val="FF0000"/>
                    </w:rPr>
                  </w:pPr>
                  <w:r>
                    <w:rPr>
                      <w:rFonts w:hint="eastAsia"/>
                      <w:color w:val="FF0000"/>
                    </w:rPr>
                    <w:t>42.51</w:t>
                  </w:r>
                </w:p>
              </w:tc>
              <w:tc>
                <w:tcPr>
                  <w:tcW w:w="830" w:type="dxa"/>
                  <w:vAlign w:val="center"/>
                </w:tcPr>
                <w:p>
                  <w:pPr>
                    <w:pStyle w:val="215"/>
                    <w:rPr>
                      <w:color w:val="FF0000"/>
                    </w:rPr>
                  </w:pPr>
                  <w:r>
                    <w:rPr>
                      <w:rFonts w:hint="eastAsia"/>
                      <w:color w:val="FF0000"/>
                    </w:rPr>
                    <w:t>48.66</w:t>
                  </w:r>
                </w:p>
              </w:tc>
              <w:tc>
                <w:tcPr>
                  <w:tcW w:w="829" w:type="dxa"/>
                  <w:vAlign w:val="center"/>
                </w:tcPr>
                <w:p>
                  <w:pPr>
                    <w:pStyle w:val="215"/>
                    <w:rPr>
                      <w:color w:val="FF0000"/>
                    </w:rPr>
                  </w:pPr>
                  <w:r>
                    <w:rPr>
                      <w:rFonts w:hint="eastAsia"/>
                      <w:color w:val="FF0000"/>
                    </w:rPr>
                    <w:t>42.22</w:t>
                  </w:r>
                </w:p>
              </w:tc>
            </w:tr>
          </w:tbl>
          <w:p>
            <w:pPr>
              <w:spacing w:before="120" w:beforeLines="50" w:line="360" w:lineRule="auto"/>
              <w:ind w:firstLine="480" w:firstLineChars="200"/>
            </w:pPr>
            <w:r>
              <w:rPr>
                <w:rFonts w:hint="eastAsia"/>
              </w:rPr>
              <w:t>从预测结果来看，运营期间厂界的噪声低于《工业企业厂界环境噪声排放标准》（GB12348-2008）</w:t>
            </w:r>
            <w:r>
              <w:t>3</w:t>
            </w:r>
            <w:r>
              <w:rPr>
                <w:rFonts w:hint="eastAsia"/>
              </w:rPr>
              <w:t>类标准，对环境噪声的本身影响很小，基本对周围的声学环境不构成危害。</w:t>
            </w:r>
          </w:p>
          <w:p>
            <w:pPr>
              <w:spacing w:line="360" w:lineRule="auto"/>
              <w:ind w:firstLine="480" w:firstLineChars="200"/>
            </w:pPr>
            <w:r>
              <w:rPr>
                <w:rFonts w:hint="eastAsia"/>
              </w:rPr>
              <w:t>项目50m范围内不存在敏感目标，不会对周围敏感点造成影响。</w:t>
            </w:r>
            <w:r>
              <w:t xml:space="preserve">                                                                                                                                                                                                                                                        </w:t>
            </w:r>
          </w:p>
          <w:p>
            <w:pPr>
              <w:adjustRightInd w:val="0"/>
              <w:snapToGrid w:val="0"/>
              <w:spacing w:line="360" w:lineRule="auto"/>
              <w:ind w:firstLine="489" w:firstLineChars="204"/>
            </w:pPr>
            <w:r>
              <w:t>尽管项目区产生噪声能够达标排放，但企业运营中仍应严格管理，避免出现噪声扰民现象，具体措施为：</w:t>
            </w:r>
          </w:p>
          <w:p>
            <w:pPr>
              <w:adjustRightInd w:val="0"/>
              <w:snapToGrid w:val="0"/>
              <w:spacing w:line="360" w:lineRule="auto"/>
              <w:ind w:firstLine="489" w:firstLineChars="204"/>
            </w:pPr>
            <w:r>
              <w:t>（1）加强设备检修维护，避免出现非正常高噪声运转；</w:t>
            </w:r>
          </w:p>
          <w:p>
            <w:pPr>
              <w:adjustRightInd w:val="0"/>
              <w:snapToGrid w:val="0"/>
              <w:spacing w:line="360" w:lineRule="auto"/>
              <w:ind w:firstLine="489" w:firstLineChars="204"/>
            </w:pPr>
            <w:r>
              <w:t>（2）对高噪声设备要加装减震、降噪的防护措施；</w:t>
            </w:r>
          </w:p>
          <w:p>
            <w:pPr>
              <w:spacing w:line="360" w:lineRule="auto"/>
              <w:ind w:firstLine="480" w:firstLineChars="200"/>
              <w:rPr>
                <w:kern w:val="0"/>
                <w:szCs w:val="20"/>
              </w:rPr>
            </w:pPr>
            <w:r>
              <w:rPr>
                <w:kern w:val="0"/>
                <w:szCs w:val="20"/>
              </w:rPr>
              <w:t>综上所述，本项目在运营过程中产生的噪声对周边环境影响较小。</w:t>
            </w:r>
          </w:p>
          <w:p>
            <w:pPr>
              <w:pStyle w:val="100"/>
            </w:pPr>
            <w:r>
              <w:t>表</w:t>
            </w:r>
            <w:r>
              <w:rPr>
                <w:rFonts w:hint="eastAsia"/>
              </w:rPr>
              <w:t>4-1</w:t>
            </w:r>
            <w:r>
              <w:t>6 噪声</w:t>
            </w:r>
            <w:r>
              <w:rPr>
                <w:rFonts w:hint="eastAsia"/>
              </w:rPr>
              <w:t>监测计划表</w:t>
            </w:r>
          </w:p>
          <w:tbl>
            <w:tblPr>
              <w:tblStyle w:val="50"/>
              <w:tblW w:w="824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289"/>
              <w:gridCol w:w="1719"/>
              <w:gridCol w:w="33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4" w:hRule="exact"/>
              </w:trPr>
              <w:tc>
                <w:tcPr>
                  <w:tcW w:w="1890" w:type="dxa"/>
                  <w:vAlign w:val="center"/>
                </w:tcPr>
                <w:p>
                  <w:pPr>
                    <w:pStyle w:val="215"/>
                    <w:rPr>
                      <w:b/>
                      <w:bCs w:val="0"/>
                    </w:rPr>
                  </w:pPr>
                  <w:r>
                    <w:rPr>
                      <w:rFonts w:hint="eastAsia"/>
                      <w:b/>
                      <w:bCs w:val="0"/>
                    </w:rPr>
                    <w:t>监测项目</w:t>
                  </w:r>
                </w:p>
              </w:tc>
              <w:tc>
                <w:tcPr>
                  <w:tcW w:w="1289" w:type="dxa"/>
                  <w:vAlign w:val="center"/>
                </w:tcPr>
                <w:p>
                  <w:pPr>
                    <w:pStyle w:val="215"/>
                    <w:rPr>
                      <w:b/>
                      <w:bCs w:val="0"/>
                    </w:rPr>
                  </w:pPr>
                  <w:r>
                    <w:rPr>
                      <w:rFonts w:hint="eastAsia"/>
                      <w:b/>
                      <w:bCs w:val="0"/>
                    </w:rPr>
                    <w:t>监测点位</w:t>
                  </w:r>
                </w:p>
              </w:tc>
              <w:tc>
                <w:tcPr>
                  <w:tcW w:w="1719" w:type="dxa"/>
                  <w:vAlign w:val="center"/>
                </w:tcPr>
                <w:p>
                  <w:pPr>
                    <w:pStyle w:val="215"/>
                    <w:rPr>
                      <w:b/>
                      <w:bCs w:val="0"/>
                    </w:rPr>
                  </w:pPr>
                  <w:r>
                    <w:rPr>
                      <w:rFonts w:hint="eastAsia"/>
                      <w:b/>
                      <w:bCs w:val="0"/>
                    </w:rPr>
                    <w:t>监测频次</w:t>
                  </w:r>
                </w:p>
              </w:tc>
              <w:tc>
                <w:tcPr>
                  <w:tcW w:w="3342" w:type="dxa"/>
                  <w:vAlign w:val="center"/>
                </w:tcPr>
                <w:p>
                  <w:pPr>
                    <w:pStyle w:val="215"/>
                    <w:rPr>
                      <w:b/>
                      <w:bCs w:val="0"/>
                    </w:rPr>
                  </w:pPr>
                  <w:r>
                    <w:rPr>
                      <w:rFonts w:hint="eastAsia"/>
                      <w:b/>
                      <w:bCs w:val="0"/>
                    </w:rPr>
                    <w:t>排放执行标准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84" w:hRule="exact"/>
              </w:trPr>
              <w:tc>
                <w:tcPr>
                  <w:tcW w:w="1890" w:type="dxa"/>
                  <w:vAlign w:val="center"/>
                </w:tcPr>
                <w:p>
                  <w:pPr>
                    <w:pStyle w:val="215"/>
                  </w:pPr>
                  <w:r>
                    <w:rPr>
                      <w:rFonts w:hint="eastAsia"/>
                    </w:rPr>
                    <w:t>等效声级</w:t>
                  </w:r>
                </w:p>
              </w:tc>
              <w:tc>
                <w:tcPr>
                  <w:tcW w:w="1289" w:type="dxa"/>
                  <w:vAlign w:val="center"/>
                </w:tcPr>
                <w:p>
                  <w:pPr>
                    <w:pStyle w:val="215"/>
                  </w:pPr>
                  <w:r>
                    <w:rPr>
                      <w:rFonts w:hint="eastAsia"/>
                    </w:rPr>
                    <w:t>厂界4个点位</w:t>
                  </w:r>
                </w:p>
              </w:tc>
              <w:tc>
                <w:tcPr>
                  <w:tcW w:w="1719" w:type="dxa"/>
                  <w:vAlign w:val="center"/>
                </w:tcPr>
                <w:p>
                  <w:pPr>
                    <w:pStyle w:val="215"/>
                  </w:pPr>
                  <w:r>
                    <w:rPr>
                      <w:rFonts w:hint="eastAsia"/>
                    </w:rPr>
                    <w:t>1次/季</w:t>
                  </w:r>
                </w:p>
              </w:tc>
              <w:tc>
                <w:tcPr>
                  <w:tcW w:w="3342" w:type="dxa"/>
                  <w:vAlign w:val="center"/>
                </w:tcPr>
                <w:p>
                  <w:pPr>
                    <w:pStyle w:val="215"/>
                  </w:pPr>
                  <w:r>
                    <w:rPr>
                      <w:rFonts w:hint="eastAsia"/>
                    </w:rPr>
                    <w:t>《工业企业厂界环境噪声排放标准》GB12348-2008 中</w:t>
                  </w:r>
                  <w:r>
                    <w:t>3</w:t>
                  </w:r>
                  <w:r>
                    <w:rPr>
                      <w:rFonts w:hint="eastAsia"/>
                    </w:rPr>
                    <w:t>类标准</w:t>
                  </w:r>
                </w:p>
              </w:tc>
            </w:tr>
          </w:tbl>
          <w:p>
            <w:pPr>
              <w:spacing w:before="120" w:beforeLines="50" w:line="360" w:lineRule="auto"/>
              <w:ind w:firstLine="437"/>
              <w:rPr>
                <w:b/>
                <w:lang w:val="en-GB"/>
              </w:rPr>
            </w:pPr>
            <w:r>
              <w:rPr>
                <w:rFonts w:hint="eastAsia"/>
                <w:b/>
                <w:lang w:val="en-GB"/>
              </w:rPr>
              <w:t>四</w:t>
            </w:r>
            <w:r>
              <w:rPr>
                <w:b/>
                <w:lang w:val="en-GB"/>
              </w:rPr>
              <w:t>、固体废物环境影响分析</w:t>
            </w:r>
          </w:p>
          <w:p>
            <w:pPr>
              <w:adjustRightInd w:val="0"/>
              <w:snapToGrid w:val="0"/>
              <w:spacing w:line="360" w:lineRule="auto"/>
              <w:ind w:firstLine="482" w:firstLineChars="200"/>
              <w:rPr>
                <w:b/>
              </w:rPr>
            </w:pPr>
            <w:r>
              <w:rPr>
                <w:rFonts w:hint="eastAsia"/>
                <w:b/>
              </w:rPr>
              <w:t>1、建设项目固体废物产生情况</w:t>
            </w:r>
          </w:p>
          <w:p>
            <w:pPr>
              <w:spacing w:line="360" w:lineRule="auto"/>
              <w:ind w:firstLine="480" w:firstLineChars="200"/>
              <w:rPr>
                <w:lang w:val="en-GB"/>
              </w:rPr>
            </w:pPr>
            <w:r>
              <w:rPr>
                <w:lang w:val="en-GB"/>
              </w:rPr>
              <w:t>拟建项目</w:t>
            </w:r>
            <w:r>
              <w:rPr>
                <w:rFonts w:hint="eastAsia"/>
                <w:lang w:val="en-GB"/>
              </w:rPr>
              <w:t>不新增劳动定员，</w:t>
            </w:r>
            <w:r>
              <w:rPr>
                <w:lang w:val="en-GB"/>
              </w:rPr>
              <w:t>运营过程中产生的主要固体废物</w:t>
            </w:r>
            <w:r>
              <w:rPr>
                <w:rFonts w:hint="eastAsia"/>
                <w:lang w:val="en-GB"/>
              </w:rPr>
              <w:t>主要为一般固废和危险废物</w:t>
            </w:r>
            <w:r>
              <w:rPr>
                <w:lang w:val="en-GB"/>
              </w:rPr>
              <w:t>。</w:t>
            </w:r>
          </w:p>
          <w:p>
            <w:pPr>
              <w:adjustRightInd w:val="0"/>
              <w:snapToGrid w:val="0"/>
              <w:spacing w:line="360" w:lineRule="auto"/>
              <w:ind w:firstLine="480" w:firstLineChars="200"/>
              <w:rPr>
                <w:lang w:val="en-GB"/>
              </w:rPr>
            </w:pPr>
            <w:r>
              <w:rPr>
                <w:rFonts w:hint="eastAsia" w:ascii="宋体" w:hAnsi="宋体" w:cs="宋体"/>
                <w:lang w:val="en-GB"/>
              </w:rPr>
              <w:t>①</w:t>
            </w:r>
            <w:r>
              <w:rPr>
                <w:rFonts w:hint="eastAsia"/>
                <w:lang w:val="en-GB"/>
              </w:rPr>
              <w:t>一般固废</w:t>
            </w:r>
          </w:p>
          <w:p>
            <w:pPr>
              <w:spacing w:line="360" w:lineRule="auto"/>
              <w:ind w:firstLine="480" w:firstLineChars="200"/>
              <w:rPr>
                <w:lang w:val="en-GB"/>
              </w:rPr>
            </w:pPr>
            <w:r>
              <w:rPr>
                <w:lang w:val="en-GB"/>
              </w:rPr>
              <w:t>粉尘：根据</w:t>
            </w:r>
            <w:r>
              <w:rPr>
                <w:rFonts w:hint="eastAsia"/>
                <w:lang w:val="en-GB"/>
              </w:rPr>
              <w:t>计算</w:t>
            </w:r>
            <w:r>
              <w:rPr>
                <w:lang w:val="en-GB"/>
              </w:rPr>
              <w:t>，除尘器收集粉尘</w:t>
            </w:r>
            <w:r>
              <w:rPr>
                <w:rFonts w:hint="eastAsia"/>
                <w:lang w:val="en-GB"/>
              </w:rPr>
              <w:t>与无组织</w:t>
            </w:r>
            <w:r>
              <w:rPr>
                <w:lang w:val="en-GB"/>
              </w:rPr>
              <w:t>车间沉降后收集粉尘约182</w:t>
            </w:r>
            <w:r>
              <w:rPr>
                <w:rFonts w:hint="eastAsia"/>
                <w:lang w:val="en-GB"/>
              </w:rPr>
              <w:t>.</w:t>
            </w:r>
            <w:r>
              <w:rPr>
                <w:lang w:val="en-GB"/>
              </w:rPr>
              <w:t>8388t/a</w:t>
            </w:r>
            <w:r>
              <w:rPr>
                <w:rFonts w:hint="eastAsia"/>
                <w:lang w:val="en-GB"/>
              </w:rPr>
              <w:t>，</w:t>
            </w:r>
            <w:r>
              <w:rPr>
                <w:lang w:val="en-GB"/>
              </w:rPr>
              <w:t>全部回用于生产</w:t>
            </w:r>
            <w:r>
              <w:rPr>
                <w:rFonts w:hint="eastAsia"/>
                <w:lang w:val="en-GB"/>
              </w:rPr>
              <w:t>。</w:t>
            </w:r>
          </w:p>
          <w:p>
            <w:pPr>
              <w:spacing w:line="360" w:lineRule="auto"/>
              <w:ind w:firstLine="480" w:firstLineChars="200"/>
              <w:rPr>
                <w:lang w:val="en-GB"/>
              </w:rPr>
            </w:pPr>
            <w:r>
              <w:rPr>
                <w:lang w:val="en-GB"/>
              </w:rPr>
              <w:t>边角料：类比同类企业，边脚料约为150t/a，集中收集后</w:t>
            </w:r>
            <w:r>
              <w:rPr>
                <w:rFonts w:hint="eastAsia"/>
                <w:lang w:val="en-GB"/>
              </w:rPr>
              <w:t>回用于生产线</w:t>
            </w:r>
            <w:r>
              <w:rPr>
                <w:lang w:val="en-GB"/>
              </w:rPr>
              <w:t>。</w:t>
            </w:r>
          </w:p>
          <w:p>
            <w:pPr>
              <w:spacing w:line="360" w:lineRule="auto"/>
              <w:ind w:firstLine="480" w:firstLineChars="200"/>
              <w:rPr>
                <w:lang w:val="en-GB"/>
              </w:rPr>
            </w:pPr>
            <w:r>
              <w:rPr>
                <w:lang w:val="en-GB"/>
              </w:rPr>
              <w:t>不合格品：类比同类企业，不合格品产生量约为170t/a，集中收集后</w:t>
            </w:r>
            <w:r>
              <w:rPr>
                <w:rFonts w:hint="eastAsia"/>
                <w:lang w:val="en-GB"/>
              </w:rPr>
              <w:t>回用于生产线</w:t>
            </w:r>
            <w:r>
              <w:rPr>
                <w:lang w:val="en-GB"/>
              </w:rPr>
              <w:t>。</w:t>
            </w:r>
          </w:p>
          <w:p>
            <w:pPr>
              <w:spacing w:line="360" w:lineRule="auto"/>
              <w:ind w:firstLine="480" w:firstLineChars="200"/>
              <w:rPr>
                <w:lang w:val="en-GB"/>
              </w:rPr>
            </w:pPr>
            <w:r>
              <w:rPr>
                <w:rFonts w:hint="eastAsia"/>
                <w:lang w:val="en-GB"/>
              </w:rPr>
              <w:t>②危险废物</w:t>
            </w:r>
          </w:p>
          <w:p>
            <w:pPr>
              <w:spacing w:line="360" w:lineRule="auto"/>
              <w:ind w:firstLine="480" w:firstLineChars="200"/>
              <w:rPr>
                <w:lang w:val="en-GB"/>
              </w:rPr>
            </w:pPr>
            <w:r>
              <w:rPr>
                <w:rFonts w:hint="eastAsia"/>
                <w:lang w:val="en-GB"/>
              </w:rPr>
              <w:t>废导热油：项目导热油炉需定期更换导热油，根据建设方提供资料，导热油一次充装量约为 5t，两年更换一次，则废导热油产生量为2.5t/a。根据《国家危险废物名录》（2021 版），废导热油属于危险废物，HW08（900-249-08），采用密闭桶贮存，暂存于危废暂存间，定期由有资质的危废处置单位进行清运处理。</w:t>
            </w:r>
          </w:p>
          <w:p>
            <w:pPr>
              <w:adjustRightInd w:val="0"/>
              <w:snapToGrid w:val="0"/>
              <w:spacing w:line="360" w:lineRule="auto"/>
              <w:ind w:firstLine="482" w:firstLineChars="200"/>
              <w:rPr>
                <w:b/>
                <w:kern w:val="0"/>
                <w:szCs w:val="20"/>
              </w:rPr>
            </w:pPr>
            <w:r>
              <w:rPr>
                <w:rFonts w:hint="eastAsia"/>
                <w:b/>
                <w:kern w:val="0"/>
                <w:szCs w:val="20"/>
              </w:rPr>
              <w:t>2、固体废物属性判定</w:t>
            </w:r>
          </w:p>
          <w:p>
            <w:pPr>
              <w:adjustRightInd w:val="0"/>
              <w:snapToGrid w:val="0"/>
              <w:spacing w:line="360" w:lineRule="auto"/>
              <w:ind w:firstLine="480" w:firstLineChars="200"/>
              <w:rPr>
                <w:kern w:val="0"/>
                <w:szCs w:val="20"/>
              </w:rPr>
            </w:pPr>
            <w:r>
              <w:rPr>
                <w:rFonts w:hint="eastAsia"/>
                <w:kern w:val="0"/>
                <w:szCs w:val="20"/>
              </w:rPr>
              <w:t>固体废物属性判定：根据《固体废物鉴别标准 通则》（GB34330-2017）的规定，判断每种副产物是否属于固体废物，本项目各固体废物属性判定结果详见表4-1</w:t>
            </w:r>
            <w:r>
              <w:rPr>
                <w:kern w:val="0"/>
                <w:szCs w:val="20"/>
              </w:rPr>
              <w:t>7</w:t>
            </w:r>
            <w:r>
              <w:rPr>
                <w:rFonts w:hint="eastAsia"/>
                <w:kern w:val="0"/>
                <w:szCs w:val="20"/>
              </w:rPr>
              <w:t>。</w:t>
            </w:r>
          </w:p>
          <w:p>
            <w:pPr>
              <w:pStyle w:val="100"/>
            </w:pPr>
            <w:r>
              <w:rPr>
                <w:rFonts w:hint="eastAsia"/>
              </w:rPr>
              <w:t>表4-1</w:t>
            </w:r>
            <w:r>
              <w:t>7</w:t>
            </w:r>
            <w:r>
              <w:rPr>
                <w:rFonts w:hint="eastAsia"/>
              </w:rPr>
              <w:t xml:space="preserve"> 固废产生及处置情况</w:t>
            </w:r>
          </w:p>
          <w:tbl>
            <w:tblPr>
              <w:tblStyle w:val="50"/>
              <w:tblW w:w="8028"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9"/>
              <w:gridCol w:w="779"/>
              <w:gridCol w:w="1061"/>
              <w:gridCol w:w="1061"/>
              <w:gridCol w:w="1061"/>
              <w:gridCol w:w="1061"/>
              <w:gridCol w:w="659"/>
              <w:gridCol w:w="567"/>
              <w:gridCol w:w="101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9" w:type="dxa"/>
                  <w:vMerge w:val="restart"/>
                  <w:vAlign w:val="center"/>
                </w:tcPr>
                <w:p>
                  <w:pPr>
                    <w:pStyle w:val="215"/>
                    <w:rPr>
                      <w:b/>
                      <w:bCs w:val="0"/>
                    </w:rPr>
                  </w:pPr>
                  <w:r>
                    <w:rPr>
                      <w:rFonts w:hint="eastAsia"/>
                      <w:b/>
                      <w:bCs w:val="0"/>
                    </w:rPr>
                    <w:t>序号</w:t>
                  </w:r>
                </w:p>
              </w:tc>
              <w:tc>
                <w:tcPr>
                  <w:tcW w:w="779" w:type="dxa"/>
                  <w:vMerge w:val="restart"/>
                  <w:vAlign w:val="center"/>
                </w:tcPr>
                <w:p>
                  <w:pPr>
                    <w:pStyle w:val="215"/>
                    <w:rPr>
                      <w:b/>
                      <w:bCs w:val="0"/>
                    </w:rPr>
                  </w:pPr>
                  <w:r>
                    <w:rPr>
                      <w:rFonts w:hint="eastAsia"/>
                      <w:b/>
                      <w:bCs w:val="0"/>
                    </w:rPr>
                    <w:t>固废名称</w:t>
                  </w:r>
                </w:p>
              </w:tc>
              <w:tc>
                <w:tcPr>
                  <w:tcW w:w="1061" w:type="dxa"/>
                  <w:vMerge w:val="restart"/>
                  <w:vAlign w:val="center"/>
                </w:tcPr>
                <w:p>
                  <w:pPr>
                    <w:pStyle w:val="215"/>
                    <w:rPr>
                      <w:b/>
                      <w:bCs w:val="0"/>
                    </w:rPr>
                  </w:pPr>
                  <w:r>
                    <w:rPr>
                      <w:rFonts w:hint="eastAsia"/>
                      <w:b/>
                      <w:bCs w:val="0"/>
                    </w:rPr>
                    <w:t>产生工序</w:t>
                  </w:r>
                </w:p>
              </w:tc>
              <w:tc>
                <w:tcPr>
                  <w:tcW w:w="1061" w:type="dxa"/>
                  <w:vMerge w:val="restart"/>
                  <w:vAlign w:val="center"/>
                </w:tcPr>
                <w:p>
                  <w:pPr>
                    <w:pStyle w:val="215"/>
                    <w:rPr>
                      <w:b/>
                      <w:bCs w:val="0"/>
                    </w:rPr>
                  </w:pPr>
                  <w:r>
                    <w:rPr>
                      <w:rFonts w:hint="eastAsia"/>
                      <w:b/>
                      <w:bCs w:val="0"/>
                    </w:rPr>
                    <w:t>形态</w:t>
                  </w:r>
                </w:p>
              </w:tc>
              <w:tc>
                <w:tcPr>
                  <w:tcW w:w="1061" w:type="dxa"/>
                  <w:vMerge w:val="restart"/>
                  <w:vAlign w:val="center"/>
                </w:tcPr>
                <w:p>
                  <w:pPr>
                    <w:pStyle w:val="215"/>
                    <w:rPr>
                      <w:b/>
                      <w:bCs w:val="0"/>
                    </w:rPr>
                  </w:pPr>
                  <w:r>
                    <w:rPr>
                      <w:rFonts w:hint="eastAsia"/>
                      <w:b/>
                      <w:bCs w:val="0"/>
                    </w:rPr>
                    <w:t>主要成分</w:t>
                  </w:r>
                </w:p>
              </w:tc>
              <w:tc>
                <w:tcPr>
                  <w:tcW w:w="1061" w:type="dxa"/>
                  <w:vMerge w:val="restart"/>
                  <w:vAlign w:val="center"/>
                </w:tcPr>
                <w:p>
                  <w:pPr>
                    <w:pStyle w:val="215"/>
                    <w:rPr>
                      <w:b/>
                      <w:bCs w:val="0"/>
                    </w:rPr>
                  </w:pPr>
                  <w:r>
                    <w:rPr>
                      <w:rFonts w:hint="eastAsia"/>
                      <w:b/>
                      <w:bCs w:val="0"/>
                    </w:rPr>
                    <w:t>产生量</w:t>
                  </w:r>
                </w:p>
              </w:tc>
              <w:tc>
                <w:tcPr>
                  <w:tcW w:w="2236" w:type="dxa"/>
                  <w:gridSpan w:val="3"/>
                  <w:vAlign w:val="center"/>
                </w:tcPr>
                <w:p>
                  <w:pPr>
                    <w:pStyle w:val="215"/>
                    <w:rPr>
                      <w:b/>
                      <w:bCs w:val="0"/>
                    </w:rPr>
                  </w:pPr>
                  <w:r>
                    <w:rPr>
                      <w:rFonts w:hint="eastAsia"/>
                      <w:b/>
                      <w:bCs w:val="0"/>
                    </w:rPr>
                    <w:t>种类判断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9" w:type="dxa"/>
                  <w:vMerge w:val="continue"/>
                  <w:vAlign w:val="center"/>
                </w:tcPr>
                <w:p>
                  <w:pPr>
                    <w:pStyle w:val="215"/>
                    <w:rPr>
                      <w:b/>
                      <w:bCs w:val="0"/>
                    </w:rPr>
                  </w:pPr>
                </w:p>
              </w:tc>
              <w:tc>
                <w:tcPr>
                  <w:tcW w:w="779" w:type="dxa"/>
                  <w:vMerge w:val="continue"/>
                  <w:vAlign w:val="center"/>
                </w:tcPr>
                <w:p>
                  <w:pPr>
                    <w:pStyle w:val="215"/>
                    <w:rPr>
                      <w:b/>
                      <w:bCs w:val="0"/>
                    </w:rPr>
                  </w:pPr>
                </w:p>
              </w:tc>
              <w:tc>
                <w:tcPr>
                  <w:tcW w:w="1061" w:type="dxa"/>
                  <w:vMerge w:val="continue"/>
                  <w:vAlign w:val="center"/>
                </w:tcPr>
                <w:p>
                  <w:pPr>
                    <w:pStyle w:val="215"/>
                    <w:rPr>
                      <w:b/>
                      <w:bCs w:val="0"/>
                    </w:rPr>
                  </w:pPr>
                </w:p>
              </w:tc>
              <w:tc>
                <w:tcPr>
                  <w:tcW w:w="1061" w:type="dxa"/>
                  <w:vMerge w:val="continue"/>
                  <w:vAlign w:val="center"/>
                </w:tcPr>
                <w:p>
                  <w:pPr>
                    <w:pStyle w:val="215"/>
                    <w:rPr>
                      <w:b/>
                      <w:bCs w:val="0"/>
                    </w:rPr>
                  </w:pPr>
                </w:p>
              </w:tc>
              <w:tc>
                <w:tcPr>
                  <w:tcW w:w="1061" w:type="dxa"/>
                  <w:vMerge w:val="continue"/>
                  <w:vAlign w:val="center"/>
                </w:tcPr>
                <w:p>
                  <w:pPr>
                    <w:pStyle w:val="215"/>
                    <w:rPr>
                      <w:b/>
                      <w:bCs w:val="0"/>
                    </w:rPr>
                  </w:pPr>
                </w:p>
              </w:tc>
              <w:tc>
                <w:tcPr>
                  <w:tcW w:w="1061" w:type="dxa"/>
                  <w:vMerge w:val="continue"/>
                  <w:vAlign w:val="center"/>
                </w:tcPr>
                <w:p>
                  <w:pPr>
                    <w:pStyle w:val="215"/>
                    <w:rPr>
                      <w:b/>
                      <w:bCs w:val="0"/>
                    </w:rPr>
                  </w:pPr>
                </w:p>
              </w:tc>
              <w:tc>
                <w:tcPr>
                  <w:tcW w:w="1226" w:type="dxa"/>
                  <w:gridSpan w:val="2"/>
                  <w:vAlign w:val="center"/>
                </w:tcPr>
                <w:p>
                  <w:pPr>
                    <w:pStyle w:val="215"/>
                    <w:rPr>
                      <w:b/>
                      <w:bCs w:val="0"/>
                    </w:rPr>
                  </w:pPr>
                  <w:r>
                    <w:rPr>
                      <w:rFonts w:hint="eastAsia"/>
                      <w:b/>
                      <w:bCs w:val="0"/>
                    </w:rPr>
                    <w:t>是否固废</w:t>
                  </w:r>
                </w:p>
              </w:tc>
              <w:tc>
                <w:tcPr>
                  <w:tcW w:w="1010" w:type="dxa"/>
                  <w:vMerge w:val="restart"/>
                  <w:vAlign w:val="center"/>
                </w:tcPr>
                <w:p>
                  <w:pPr>
                    <w:pStyle w:val="215"/>
                    <w:rPr>
                      <w:b/>
                      <w:bCs w:val="0"/>
                    </w:rPr>
                  </w:pPr>
                  <w:r>
                    <w:rPr>
                      <w:rFonts w:hint="eastAsia"/>
                      <w:b/>
                      <w:bCs w:val="0"/>
                    </w:rPr>
                    <w:t>判定依据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69" w:type="dxa"/>
                  <w:vMerge w:val="continue"/>
                  <w:vAlign w:val="center"/>
                </w:tcPr>
                <w:p>
                  <w:pPr>
                    <w:pStyle w:val="215"/>
                    <w:rPr>
                      <w:b/>
                      <w:bCs w:val="0"/>
                    </w:rPr>
                  </w:pPr>
                </w:p>
              </w:tc>
              <w:tc>
                <w:tcPr>
                  <w:tcW w:w="779" w:type="dxa"/>
                  <w:vMerge w:val="continue"/>
                  <w:vAlign w:val="center"/>
                </w:tcPr>
                <w:p>
                  <w:pPr>
                    <w:pStyle w:val="215"/>
                    <w:rPr>
                      <w:b/>
                      <w:bCs w:val="0"/>
                    </w:rPr>
                  </w:pPr>
                </w:p>
              </w:tc>
              <w:tc>
                <w:tcPr>
                  <w:tcW w:w="1061" w:type="dxa"/>
                  <w:vMerge w:val="continue"/>
                  <w:vAlign w:val="center"/>
                </w:tcPr>
                <w:p>
                  <w:pPr>
                    <w:pStyle w:val="215"/>
                    <w:rPr>
                      <w:b/>
                      <w:bCs w:val="0"/>
                    </w:rPr>
                  </w:pPr>
                </w:p>
              </w:tc>
              <w:tc>
                <w:tcPr>
                  <w:tcW w:w="1061" w:type="dxa"/>
                  <w:vMerge w:val="continue"/>
                  <w:vAlign w:val="center"/>
                </w:tcPr>
                <w:p>
                  <w:pPr>
                    <w:pStyle w:val="215"/>
                    <w:rPr>
                      <w:b/>
                      <w:bCs w:val="0"/>
                    </w:rPr>
                  </w:pPr>
                </w:p>
              </w:tc>
              <w:tc>
                <w:tcPr>
                  <w:tcW w:w="1061" w:type="dxa"/>
                  <w:vMerge w:val="continue"/>
                  <w:vAlign w:val="center"/>
                </w:tcPr>
                <w:p>
                  <w:pPr>
                    <w:pStyle w:val="215"/>
                    <w:rPr>
                      <w:b/>
                      <w:bCs w:val="0"/>
                    </w:rPr>
                  </w:pPr>
                </w:p>
              </w:tc>
              <w:tc>
                <w:tcPr>
                  <w:tcW w:w="1061" w:type="dxa"/>
                  <w:vMerge w:val="continue"/>
                  <w:vAlign w:val="center"/>
                </w:tcPr>
                <w:p>
                  <w:pPr>
                    <w:pStyle w:val="215"/>
                    <w:rPr>
                      <w:b/>
                      <w:bCs w:val="0"/>
                    </w:rPr>
                  </w:pPr>
                </w:p>
              </w:tc>
              <w:tc>
                <w:tcPr>
                  <w:tcW w:w="659" w:type="dxa"/>
                  <w:vAlign w:val="center"/>
                </w:tcPr>
                <w:p>
                  <w:pPr>
                    <w:pStyle w:val="215"/>
                    <w:rPr>
                      <w:b/>
                      <w:bCs w:val="0"/>
                    </w:rPr>
                  </w:pPr>
                  <w:r>
                    <w:rPr>
                      <w:rFonts w:hint="eastAsia"/>
                      <w:b/>
                      <w:bCs w:val="0"/>
                    </w:rPr>
                    <w:t>是</w:t>
                  </w:r>
                </w:p>
              </w:tc>
              <w:tc>
                <w:tcPr>
                  <w:tcW w:w="567" w:type="dxa"/>
                  <w:vAlign w:val="center"/>
                </w:tcPr>
                <w:p>
                  <w:pPr>
                    <w:pStyle w:val="215"/>
                    <w:rPr>
                      <w:b/>
                      <w:bCs w:val="0"/>
                    </w:rPr>
                  </w:pPr>
                  <w:r>
                    <w:rPr>
                      <w:rFonts w:hint="eastAsia"/>
                      <w:b/>
                      <w:bCs w:val="0"/>
                    </w:rPr>
                    <w:t>否</w:t>
                  </w:r>
                </w:p>
              </w:tc>
              <w:tc>
                <w:tcPr>
                  <w:tcW w:w="1010"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69" w:type="dxa"/>
                  <w:vAlign w:val="center"/>
                </w:tcPr>
                <w:p>
                  <w:pPr>
                    <w:pStyle w:val="215"/>
                  </w:pPr>
                  <w:r>
                    <w:t>1</w:t>
                  </w:r>
                </w:p>
              </w:tc>
              <w:tc>
                <w:tcPr>
                  <w:tcW w:w="779" w:type="dxa"/>
                  <w:vAlign w:val="center"/>
                </w:tcPr>
                <w:p>
                  <w:pPr>
                    <w:pStyle w:val="215"/>
                  </w:pPr>
                  <w:r>
                    <w:rPr>
                      <w:rFonts w:hint="eastAsia"/>
                    </w:rPr>
                    <w:t>粉尘</w:t>
                  </w:r>
                </w:p>
              </w:tc>
              <w:tc>
                <w:tcPr>
                  <w:tcW w:w="1061" w:type="dxa"/>
                  <w:vAlign w:val="center"/>
                </w:tcPr>
                <w:p>
                  <w:pPr>
                    <w:pStyle w:val="215"/>
                  </w:pPr>
                  <w:r>
                    <w:rPr>
                      <w:rFonts w:hint="eastAsia"/>
                    </w:rPr>
                    <w:t>废气处理</w:t>
                  </w:r>
                </w:p>
              </w:tc>
              <w:tc>
                <w:tcPr>
                  <w:tcW w:w="1061" w:type="dxa"/>
                  <w:vAlign w:val="center"/>
                </w:tcPr>
                <w:p>
                  <w:pPr>
                    <w:pStyle w:val="215"/>
                  </w:pPr>
                  <w:r>
                    <w:rPr>
                      <w:rFonts w:hint="eastAsia"/>
                    </w:rPr>
                    <w:t>固态</w:t>
                  </w:r>
                </w:p>
              </w:tc>
              <w:tc>
                <w:tcPr>
                  <w:tcW w:w="1061" w:type="dxa"/>
                  <w:vAlign w:val="center"/>
                </w:tcPr>
                <w:p>
                  <w:pPr>
                    <w:pStyle w:val="215"/>
                  </w:pPr>
                  <w:r>
                    <w:rPr>
                      <w:rFonts w:hint="eastAsia"/>
                    </w:rPr>
                    <w:t>木屑</w:t>
                  </w:r>
                </w:p>
              </w:tc>
              <w:tc>
                <w:tcPr>
                  <w:tcW w:w="1061" w:type="dxa"/>
                  <w:vAlign w:val="center"/>
                </w:tcPr>
                <w:p>
                  <w:pPr>
                    <w:pStyle w:val="215"/>
                  </w:pPr>
                  <w:r>
                    <w:rPr>
                      <w:lang w:val="en-GB"/>
                    </w:rPr>
                    <w:t>182</w:t>
                  </w:r>
                  <w:r>
                    <w:rPr>
                      <w:rFonts w:hint="eastAsia"/>
                      <w:lang w:val="en-GB"/>
                    </w:rPr>
                    <w:t>.</w:t>
                  </w:r>
                  <w:r>
                    <w:rPr>
                      <w:lang w:val="en-GB"/>
                    </w:rPr>
                    <w:t>8388</w:t>
                  </w:r>
                </w:p>
              </w:tc>
              <w:tc>
                <w:tcPr>
                  <w:tcW w:w="659" w:type="dxa"/>
                  <w:vAlign w:val="center"/>
                </w:tcPr>
                <w:p>
                  <w:pPr>
                    <w:pStyle w:val="215"/>
                  </w:pPr>
                  <w:r>
                    <w:rPr>
                      <w:rFonts w:hint="eastAsia"/>
                    </w:rPr>
                    <w:t>√</w:t>
                  </w:r>
                </w:p>
              </w:tc>
              <w:tc>
                <w:tcPr>
                  <w:tcW w:w="567" w:type="dxa"/>
                  <w:vAlign w:val="center"/>
                </w:tcPr>
                <w:p>
                  <w:pPr>
                    <w:pStyle w:val="215"/>
                  </w:pPr>
                </w:p>
              </w:tc>
              <w:tc>
                <w:tcPr>
                  <w:tcW w:w="1010"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69" w:type="dxa"/>
                  <w:vAlign w:val="center"/>
                </w:tcPr>
                <w:p>
                  <w:pPr>
                    <w:pStyle w:val="215"/>
                  </w:pPr>
                  <w:r>
                    <w:rPr>
                      <w:rFonts w:hint="eastAsia"/>
                    </w:rPr>
                    <w:t>2</w:t>
                  </w:r>
                </w:p>
              </w:tc>
              <w:tc>
                <w:tcPr>
                  <w:tcW w:w="779" w:type="dxa"/>
                  <w:vAlign w:val="center"/>
                </w:tcPr>
                <w:p>
                  <w:pPr>
                    <w:pStyle w:val="215"/>
                  </w:pPr>
                  <w:r>
                    <w:rPr>
                      <w:rFonts w:hint="eastAsia"/>
                    </w:rPr>
                    <w:t>边角料</w:t>
                  </w:r>
                </w:p>
              </w:tc>
              <w:tc>
                <w:tcPr>
                  <w:tcW w:w="1061" w:type="dxa"/>
                  <w:vAlign w:val="center"/>
                </w:tcPr>
                <w:p>
                  <w:pPr>
                    <w:pStyle w:val="215"/>
                  </w:pPr>
                  <w:r>
                    <w:rPr>
                      <w:rFonts w:hint="eastAsia"/>
                    </w:rPr>
                    <w:t>生产</w:t>
                  </w:r>
                </w:p>
              </w:tc>
              <w:tc>
                <w:tcPr>
                  <w:tcW w:w="1061" w:type="dxa"/>
                  <w:vAlign w:val="center"/>
                </w:tcPr>
                <w:p>
                  <w:pPr>
                    <w:pStyle w:val="215"/>
                  </w:pPr>
                  <w:r>
                    <w:rPr>
                      <w:rFonts w:hint="eastAsia"/>
                    </w:rPr>
                    <w:t>固态</w:t>
                  </w:r>
                </w:p>
              </w:tc>
              <w:tc>
                <w:tcPr>
                  <w:tcW w:w="1061" w:type="dxa"/>
                  <w:vAlign w:val="center"/>
                </w:tcPr>
                <w:p>
                  <w:pPr>
                    <w:pStyle w:val="215"/>
                  </w:pPr>
                  <w:r>
                    <w:rPr>
                      <w:rFonts w:hint="eastAsia"/>
                    </w:rPr>
                    <w:t>木片</w:t>
                  </w:r>
                </w:p>
              </w:tc>
              <w:tc>
                <w:tcPr>
                  <w:tcW w:w="1061" w:type="dxa"/>
                  <w:vAlign w:val="center"/>
                </w:tcPr>
                <w:p>
                  <w:pPr>
                    <w:pStyle w:val="215"/>
                  </w:pPr>
                  <w:r>
                    <w:rPr>
                      <w:rFonts w:hint="eastAsia"/>
                    </w:rPr>
                    <w:t>1</w:t>
                  </w:r>
                  <w:r>
                    <w:t>50</w:t>
                  </w:r>
                </w:p>
              </w:tc>
              <w:tc>
                <w:tcPr>
                  <w:tcW w:w="659" w:type="dxa"/>
                  <w:vAlign w:val="center"/>
                </w:tcPr>
                <w:p>
                  <w:pPr>
                    <w:pStyle w:val="215"/>
                  </w:pPr>
                  <w:r>
                    <w:rPr>
                      <w:rFonts w:hint="eastAsia"/>
                    </w:rPr>
                    <w:t>√</w:t>
                  </w:r>
                </w:p>
              </w:tc>
              <w:tc>
                <w:tcPr>
                  <w:tcW w:w="567" w:type="dxa"/>
                  <w:vAlign w:val="center"/>
                </w:tcPr>
                <w:p>
                  <w:pPr>
                    <w:pStyle w:val="215"/>
                  </w:pPr>
                </w:p>
              </w:tc>
              <w:tc>
                <w:tcPr>
                  <w:tcW w:w="1010" w:type="dxa"/>
                  <w:vMerge w:val="restart"/>
                  <w:vAlign w:val="center"/>
                </w:tcPr>
                <w:p>
                  <w:pPr>
                    <w:pStyle w:val="215"/>
                  </w:pPr>
                  <w:r>
                    <w:rPr>
                      <w:rFonts w:hint="eastAsia"/>
                    </w:rPr>
                    <w:t>《固体废物鉴别标准 通则》（GB34330-2017）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69" w:type="dxa"/>
                  <w:vAlign w:val="center"/>
                </w:tcPr>
                <w:p>
                  <w:pPr>
                    <w:pStyle w:val="215"/>
                  </w:pPr>
                  <w:r>
                    <w:rPr>
                      <w:rFonts w:hint="eastAsia"/>
                    </w:rPr>
                    <w:t>3</w:t>
                  </w:r>
                </w:p>
              </w:tc>
              <w:tc>
                <w:tcPr>
                  <w:tcW w:w="779" w:type="dxa"/>
                  <w:vAlign w:val="center"/>
                </w:tcPr>
                <w:p>
                  <w:pPr>
                    <w:pStyle w:val="215"/>
                  </w:pPr>
                  <w:r>
                    <w:rPr>
                      <w:rFonts w:hint="eastAsia"/>
                    </w:rPr>
                    <w:t>不合格品</w:t>
                  </w:r>
                </w:p>
              </w:tc>
              <w:tc>
                <w:tcPr>
                  <w:tcW w:w="1061" w:type="dxa"/>
                  <w:vAlign w:val="center"/>
                </w:tcPr>
                <w:p>
                  <w:pPr>
                    <w:pStyle w:val="215"/>
                  </w:pPr>
                  <w:r>
                    <w:rPr>
                      <w:rFonts w:hint="eastAsia"/>
                    </w:rPr>
                    <w:t>生产</w:t>
                  </w:r>
                </w:p>
              </w:tc>
              <w:tc>
                <w:tcPr>
                  <w:tcW w:w="1061" w:type="dxa"/>
                  <w:vAlign w:val="center"/>
                </w:tcPr>
                <w:p>
                  <w:pPr>
                    <w:pStyle w:val="215"/>
                  </w:pPr>
                  <w:r>
                    <w:rPr>
                      <w:rFonts w:hint="eastAsia"/>
                    </w:rPr>
                    <w:t>固态</w:t>
                  </w:r>
                </w:p>
              </w:tc>
              <w:tc>
                <w:tcPr>
                  <w:tcW w:w="1061" w:type="dxa"/>
                  <w:vAlign w:val="center"/>
                </w:tcPr>
                <w:p>
                  <w:pPr>
                    <w:pStyle w:val="215"/>
                  </w:pPr>
                  <w:r>
                    <w:rPr>
                      <w:rFonts w:hint="eastAsia"/>
                    </w:rPr>
                    <w:t>木片</w:t>
                  </w:r>
                </w:p>
              </w:tc>
              <w:tc>
                <w:tcPr>
                  <w:tcW w:w="1061" w:type="dxa"/>
                  <w:vAlign w:val="center"/>
                </w:tcPr>
                <w:p>
                  <w:pPr>
                    <w:pStyle w:val="215"/>
                  </w:pPr>
                  <w:r>
                    <w:rPr>
                      <w:rFonts w:hint="eastAsia"/>
                    </w:rPr>
                    <w:t>1</w:t>
                  </w:r>
                  <w:r>
                    <w:t>70</w:t>
                  </w:r>
                </w:p>
              </w:tc>
              <w:tc>
                <w:tcPr>
                  <w:tcW w:w="659" w:type="dxa"/>
                  <w:vAlign w:val="center"/>
                </w:tcPr>
                <w:p>
                  <w:pPr>
                    <w:pStyle w:val="215"/>
                  </w:pPr>
                  <w:r>
                    <w:rPr>
                      <w:rFonts w:hint="eastAsia"/>
                    </w:rPr>
                    <w:t>√</w:t>
                  </w:r>
                </w:p>
              </w:tc>
              <w:tc>
                <w:tcPr>
                  <w:tcW w:w="567" w:type="dxa"/>
                  <w:vAlign w:val="center"/>
                </w:tcPr>
                <w:p>
                  <w:pPr>
                    <w:pStyle w:val="215"/>
                  </w:pPr>
                </w:p>
              </w:tc>
              <w:tc>
                <w:tcPr>
                  <w:tcW w:w="1010"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769" w:type="dxa"/>
                  <w:vAlign w:val="center"/>
                </w:tcPr>
                <w:p>
                  <w:pPr>
                    <w:pStyle w:val="215"/>
                  </w:pPr>
                  <w:r>
                    <w:rPr>
                      <w:rFonts w:hint="eastAsia"/>
                    </w:rPr>
                    <w:t>4</w:t>
                  </w:r>
                </w:p>
              </w:tc>
              <w:tc>
                <w:tcPr>
                  <w:tcW w:w="779" w:type="dxa"/>
                  <w:vAlign w:val="center"/>
                </w:tcPr>
                <w:p>
                  <w:pPr>
                    <w:pStyle w:val="215"/>
                  </w:pPr>
                  <w:r>
                    <w:rPr>
                      <w:rFonts w:hint="eastAsia"/>
                    </w:rPr>
                    <w:t>废导热油</w:t>
                  </w:r>
                </w:p>
              </w:tc>
              <w:tc>
                <w:tcPr>
                  <w:tcW w:w="1061" w:type="dxa"/>
                  <w:vAlign w:val="center"/>
                </w:tcPr>
                <w:p>
                  <w:pPr>
                    <w:pStyle w:val="215"/>
                  </w:pPr>
                  <w:r>
                    <w:rPr>
                      <w:rFonts w:hint="eastAsia"/>
                    </w:rPr>
                    <w:t>锅炉</w:t>
                  </w:r>
                </w:p>
              </w:tc>
              <w:tc>
                <w:tcPr>
                  <w:tcW w:w="1061" w:type="dxa"/>
                  <w:vAlign w:val="center"/>
                </w:tcPr>
                <w:p>
                  <w:pPr>
                    <w:pStyle w:val="215"/>
                  </w:pPr>
                  <w:r>
                    <w:rPr>
                      <w:rFonts w:hint="eastAsia"/>
                    </w:rPr>
                    <w:t>液态</w:t>
                  </w:r>
                </w:p>
              </w:tc>
              <w:tc>
                <w:tcPr>
                  <w:tcW w:w="1061" w:type="dxa"/>
                  <w:vAlign w:val="center"/>
                </w:tcPr>
                <w:p>
                  <w:pPr>
                    <w:pStyle w:val="215"/>
                  </w:pPr>
                  <w:r>
                    <w:rPr>
                      <w:rFonts w:hint="eastAsia"/>
                    </w:rPr>
                    <w:t>导热油</w:t>
                  </w:r>
                </w:p>
              </w:tc>
              <w:tc>
                <w:tcPr>
                  <w:tcW w:w="1061" w:type="dxa"/>
                  <w:vAlign w:val="center"/>
                </w:tcPr>
                <w:p>
                  <w:pPr>
                    <w:pStyle w:val="215"/>
                  </w:pPr>
                  <w:r>
                    <w:rPr>
                      <w:rFonts w:hint="eastAsia"/>
                    </w:rPr>
                    <w:t>2.</w:t>
                  </w:r>
                  <w:r>
                    <w:t>5</w:t>
                  </w:r>
                </w:p>
              </w:tc>
              <w:tc>
                <w:tcPr>
                  <w:tcW w:w="659" w:type="dxa"/>
                  <w:vAlign w:val="center"/>
                </w:tcPr>
                <w:p>
                  <w:pPr>
                    <w:pStyle w:val="215"/>
                  </w:pPr>
                  <w:r>
                    <w:rPr>
                      <w:rFonts w:hint="eastAsia"/>
                    </w:rPr>
                    <w:t>√</w:t>
                  </w:r>
                </w:p>
              </w:tc>
              <w:tc>
                <w:tcPr>
                  <w:tcW w:w="567" w:type="dxa"/>
                  <w:vAlign w:val="center"/>
                </w:tcPr>
                <w:p>
                  <w:pPr>
                    <w:pStyle w:val="215"/>
                  </w:pPr>
                </w:p>
              </w:tc>
              <w:tc>
                <w:tcPr>
                  <w:tcW w:w="1010" w:type="dxa"/>
                  <w:vMerge w:val="continue"/>
                  <w:vAlign w:val="center"/>
                </w:tcPr>
                <w:p>
                  <w:pPr>
                    <w:pStyle w:val="215"/>
                  </w:pPr>
                </w:p>
              </w:tc>
            </w:tr>
          </w:tbl>
          <w:p>
            <w:pPr>
              <w:adjustRightInd w:val="0"/>
              <w:snapToGrid w:val="0"/>
              <w:spacing w:line="360" w:lineRule="auto"/>
              <w:ind w:firstLine="480" w:firstLineChars="200"/>
              <w:rPr>
                <w:kern w:val="0"/>
                <w:szCs w:val="20"/>
              </w:rPr>
            </w:pPr>
            <w:r>
              <w:rPr>
                <w:rFonts w:hint="eastAsia"/>
                <w:kern w:val="0"/>
                <w:szCs w:val="20"/>
              </w:rPr>
              <w:t>危险废物属性判定：根据《国家危险废物名录》(2021 年版）以及《危险废物鉴别标准》，判定建设项目的固体废物是否属于危险废物。</w:t>
            </w:r>
          </w:p>
          <w:p>
            <w:pPr>
              <w:adjustRightInd w:val="0"/>
              <w:snapToGrid w:val="0"/>
              <w:spacing w:line="360" w:lineRule="auto"/>
              <w:jc w:val="center"/>
              <w:rPr>
                <w:b/>
                <w:kern w:val="36"/>
                <w:sz w:val="21"/>
              </w:rPr>
            </w:pPr>
            <w:r>
              <w:rPr>
                <w:rFonts w:hint="eastAsia"/>
                <w:b/>
                <w:kern w:val="36"/>
                <w:sz w:val="21"/>
              </w:rPr>
              <w:t>表 4-</w:t>
            </w:r>
            <w:r>
              <w:rPr>
                <w:b/>
                <w:kern w:val="36"/>
                <w:sz w:val="21"/>
              </w:rPr>
              <w:t xml:space="preserve">18 </w:t>
            </w:r>
            <w:r>
              <w:rPr>
                <w:rFonts w:hint="eastAsia"/>
                <w:b/>
                <w:kern w:val="36"/>
                <w:sz w:val="21"/>
              </w:rPr>
              <w:t xml:space="preserve"> 危废判定情况项目</w:t>
            </w:r>
          </w:p>
          <w:tbl>
            <w:tblPr>
              <w:tblStyle w:val="5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28"/>
              <w:gridCol w:w="543"/>
              <w:gridCol w:w="738"/>
              <w:gridCol w:w="738"/>
              <w:gridCol w:w="738"/>
              <w:gridCol w:w="1041"/>
              <w:gridCol w:w="563"/>
              <w:gridCol w:w="766"/>
              <w:gridCol w:w="1179"/>
              <w:gridCol w:w="6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256" w:type="pct"/>
                  <w:vAlign w:val="center"/>
                </w:tcPr>
                <w:p>
                  <w:pPr>
                    <w:adjustRightInd w:val="0"/>
                    <w:snapToGrid w:val="0"/>
                    <w:spacing w:line="360" w:lineRule="auto"/>
                    <w:jc w:val="center"/>
                    <w:rPr>
                      <w:b/>
                      <w:kern w:val="0"/>
                      <w:sz w:val="21"/>
                      <w:szCs w:val="21"/>
                    </w:rPr>
                  </w:pPr>
                  <w:r>
                    <w:rPr>
                      <w:rFonts w:hint="eastAsia"/>
                      <w:b/>
                      <w:kern w:val="0"/>
                      <w:sz w:val="21"/>
                      <w:szCs w:val="21"/>
                    </w:rPr>
                    <w:t>序号</w:t>
                  </w:r>
                </w:p>
              </w:tc>
              <w:tc>
                <w:tcPr>
                  <w:tcW w:w="503" w:type="pct"/>
                  <w:vAlign w:val="center"/>
                </w:tcPr>
                <w:p>
                  <w:pPr>
                    <w:adjustRightInd w:val="0"/>
                    <w:snapToGrid w:val="0"/>
                    <w:spacing w:line="360" w:lineRule="auto"/>
                    <w:jc w:val="center"/>
                    <w:rPr>
                      <w:b/>
                      <w:kern w:val="0"/>
                      <w:sz w:val="21"/>
                      <w:szCs w:val="21"/>
                    </w:rPr>
                  </w:pPr>
                  <w:r>
                    <w:rPr>
                      <w:rFonts w:hint="eastAsia"/>
                      <w:b/>
                      <w:kern w:val="0"/>
                      <w:sz w:val="21"/>
                      <w:szCs w:val="21"/>
                    </w:rPr>
                    <w:t>固废名称</w:t>
                  </w:r>
                </w:p>
              </w:tc>
              <w:tc>
                <w:tcPr>
                  <w:tcW w:w="330" w:type="pct"/>
                  <w:vAlign w:val="center"/>
                </w:tcPr>
                <w:p>
                  <w:pPr>
                    <w:adjustRightInd w:val="0"/>
                    <w:snapToGrid w:val="0"/>
                    <w:spacing w:line="360" w:lineRule="auto"/>
                    <w:jc w:val="center"/>
                    <w:rPr>
                      <w:b/>
                      <w:kern w:val="0"/>
                      <w:sz w:val="21"/>
                      <w:szCs w:val="21"/>
                    </w:rPr>
                  </w:pPr>
                  <w:r>
                    <w:rPr>
                      <w:rFonts w:hint="eastAsia"/>
                      <w:b/>
                      <w:kern w:val="0"/>
                      <w:sz w:val="21"/>
                      <w:szCs w:val="21"/>
                    </w:rPr>
                    <w:t>属性</w:t>
                  </w:r>
                </w:p>
              </w:tc>
              <w:tc>
                <w:tcPr>
                  <w:tcW w:w="448" w:type="pct"/>
                  <w:vAlign w:val="center"/>
                </w:tcPr>
                <w:p>
                  <w:pPr>
                    <w:adjustRightInd w:val="0"/>
                    <w:snapToGrid w:val="0"/>
                    <w:spacing w:line="360" w:lineRule="auto"/>
                    <w:jc w:val="center"/>
                    <w:rPr>
                      <w:b/>
                      <w:kern w:val="0"/>
                      <w:sz w:val="21"/>
                      <w:szCs w:val="21"/>
                    </w:rPr>
                  </w:pPr>
                  <w:r>
                    <w:rPr>
                      <w:rFonts w:hint="eastAsia"/>
                      <w:b/>
                      <w:kern w:val="0"/>
                      <w:sz w:val="21"/>
                      <w:szCs w:val="21"/>
                    </w:rPr>
                    <w:t>产生工序</w:t>
                  </w:r>
                </w:p>
              </w:tc>
              <w:tc>
                <w:tcPr>
                  <w:tcW w:w="448" w:type="pct"/>
                  <w:vAlign w:val="center"/>
                </w:tcPr>
                <w:p>
                  <w:pPr>
                    <w:adjustRightInd w:val="0"/>
                    <w:snapToGrid w:val="0"/>
                    <w:spacing w:line="360" w:lineRule="auto"/>
                    <w:jc w:val="center"/>
                    <w:rPr>
                      <w:b/>
                      <w:kern w:val="0"/>
                      <w:sz w:val="21"/>
                      <w:szCs w:val="21"/>
                    </w:rPr>
                  </w:pPr>
                  <w:r>
                    <w:rPr>
                      <w:rFonts w:hint="eastAsia"/>
                      <w:b/>
                      <w:kern w:val="0"/>
                      <w:sz w:val="21"/>
                      <w:szCs w:val="21"/>
                    </w:rPr>
                    <w:t>形态</w:t>
                  </w:r>
                </w:p>
              </w:tc>
              <w:tc>
                <w:tcPr>
                  <w:tcW w:w="448" w:type="pct"/>
                  <w:vAlign w:val="center"/>
                </w:tcPr>
                <w:p>
                  <w:pPr>
                    <w:adjustRightInd w:val="0"/>
                    <w:snapToGrid w:val="0"/>
                    <w:spacing w:line="360" w:lineRule="auto"/>
                    <w:jc w:val="center"/>
                    <w:rPr>
                      <w:b/>
                      <w:kern w:val="0"/>
                      <w:sz w:val="21"/>
                      <w:szCs w:val="21"/>
                    </w:rPr>
                  </w:pPr>
                  <w:r>
                    <w:rPr>
                      <w:rFonts w:hint="eastAsia"/>
                      <w:b/>
                      <w:kern w:val="0"/>
                      <w:sz w:val="21"/>
                      <w:szCs w:val="21"/>
                    </w:rPr>
                    <w:t>主要成分</w:t>
                  </w:r>
                </w:p>
              </w:tc>
              <w:tc>
                <w:tcPr>
                  <w:tcW w:w="632" w:type="pct"/>
                  <w:vAlign w:val="center"/>
                </w:tcPr>
                <w:p>
                  <w:pPr>
                    <w:adjustRightInd w:val="0"/>
                    <w:snapToGrid w:val="0"/>
                    <w:spacing w:line="360" w:lineRule="auto"/>
                    <w:jc w:val="center"/>
                    <w:rPr>
                      <w:b/>
                      <w:kern w:val="0"/>
                      <w:sz w:val="21"/>
                      <w:szCs w:val="21"/>
                    </w:rPr>
                  </w:pPr>
                  <w:r>
                    <w:rPr>
                      <w:rFonts w:hint="eastAsia"/>
                      <w:b/>
                      <w:kern w:val="0"/>
                      <w:sz w:val="21"/>
                      <w:szCs w:val="21"/>
                    </w:rPr>
                    <w:t>危险特性鉴别方法</w:t>
                  </w:r>
                </w:p>
              </w:tc>
              <w:tc>
                <w:tcPr>
                  <w:tcW w:w="342" w:type="pct"/>
                  <w:vAlign w:val="center"/>
                </w:tcPr>
                <w:p>
                  <w:pPr>
                    <w:adjustRightInd w:val="0"/>
                    <w:snapToGrid w:val="0"/>
                    <w:spacing w:line="360" w:lineRule="auto"/>
                    <w:jc w:val="center"/>
                    <w:rPr>
                      <w:b/>
                      <w:kern w:val="0"/>
                      <w:sz w:val="21"/>
                      <w:szCs w:val="21"/>
                    </w:rPr>
                  </w:pPr>
                  <w:r>
                    <w:rPr>
                      <w:rFonts w:hint="eastAsia"/>
                      <w:b/>
                      <w:kern w:val="0"/>
                      <w:sz w:val="21"/>
                      <w:szCs w:val="21"/>
                    </w:rPr>
                    <w:t>危险特性</w:t>
                  </w:r>
                </w:p>
              </w:tc>
              <w:tc>
                <w:tcPr>
                  <w:tcW w:w="465" w:type="pct"/>
                  <w:vAlign w:val="center"/>
                </w:tcPr>
                <w:p>
                  <w:pPr>
                    <w:adjustRightInd w:val="0"/>
                    <w:snapToGrid w:val="0"/>
                    <w:spacing w:line="360" w:lineRule="auto"/>
                    <w:jc w:val="center"/>
                    <w:rPr>
                      <w:b/>
                      <w:kern w:val="0"/>
                      <w:sz w:val="21"/>
                      <w:szCs w:val="21"/>
                    </w:rPr>
                  </w:pPr>
                  <w:r>
                    <w:rPr>
                      <w:rFonts w:hint="eastAsia"/>
                      <w:b/>
                      <w:kern w:val="0"/>
                      <w:sz w:val="21"/>
                      <w:szCs w:val="21"/>
                    </w:rPr>
                    <w:t>废物类别</w:t>
                  </w:r>
                </w:p>
              </w:tc>
              <w:tc>
                <w:tcPr>
                  <w:tcW w:w="716" w:type="pct"/>
                  <w:vAlign w:val="center"/>
                </w:tcPr>
                <w:p>
                  <w:pPr>
                    <w:adjustRightInd w:val="0"/>
                    <w:snapToGrid w:val="0"/>
                    <w:spacing w:line="360" w:lineRule="auto"/>
                    <w:jc w:val="center"/>
                    <w:rPr>
                      <w:b/>
                      <w:kern w:val="0"/>
                      <w:sz w:val="21"/>
                      <w:szCs w:val="21"/>
                    </w:rPr>
                  </w:pPr>
                  <w:r>
                    <w:rPr>
                      <w:rFonts w:hint="eastAsia"/>
                      <w:b/>
                      <w:kern w:val="0"/>
                      <w:sz w:val="21"/>
                      <w:szCs w:val="21"/>
                    </w:rPr>
                    <w:t>废物代码</w:t>
                  </w:r>
                </w:p>
              </w:tc>
              <w:tc>
                <w:tcPr>
                  <w:tcW w:w="412" w:type="pct"/>
                  <w:vAlign w:val="center"/>
                </w:tcPr>
                <w:p>
                  <w:pPr>
                    <w:adjustRightInd w:val="0"/>
                    <w:snapToGrid w:val="0"/>
                    <w:spacing w:line="360" w:lineRule="auto"/>
                    <w:jc w:val="center"/>
                    <w:rPr>
                      <w:b/>
                      <w:kern w:val="0"/>
                      <w:sz w:val="21"/>
                      <w:szCs w:val="21"/>
                    </w:rPr>
                  </w:pPr>
                  <w:r>
                    <w:rPr>
                      <w:rFonts w:hint="eastAsia"/>
                      <w:b/>
                      <w:kern w:val="0"/>
                      <w:sz w:val="21"/>
                      <w:szCs w:val="21"/>
                    </w:rPr>
                    <w:t>产生量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256" w:type="pct"/>
                  <w:vAlign w:val="center"/>
                </w:tcPr>
                <w:p>
                  <w:pPr>
                    <w:adjustRightInd w:val="0"/>
                    <w:snapToGrid w:val="0"/>
                    <w:spacing w:line="360" w:lineRule="auto"/>
                    <w:jc w:val="center"/>
                    <w:rPr>
                      <w:kern w:val="0"/>
                      <w:sz w:val="21"/>
                      <w:szCs w:val="21"/>
                    </w:rPr>
                  </w:pPr>
                  <w:r>
                    <w:rPr>
                      <w:rFonts w:hint="eastAsia"/>
                      <w:kern w:val="0"/>
                      <w:sz w:val="21"/>
                      <w:szCs w:val="21"/>
                    </w:rPr>
                    <w:t>1</w:t>
                  </w:r>
                </w:p>
              </w:tc>
              <w:tc>
                <w:tcPr>
                  <w:tcW w:w="503" w:type="pct"/>
                  <w:vAlign w:val="center"/>
                </w:tcPr>
                <w:p>
                  <w:pPr>
                    <w:adjustRightInd w:val="0"/>
                    <w:snapToGrid w:val="0"/>
                    <w:spacing w:line="360" w:lineRule="auto"/>
                    <w:jc w:val="center"/>
                    <w:rPr>
                      <w:kern w:val="0"/>
                      <w:sz w:val="21"/>
                      <w:szCs w:val="21"/>
                    </w:rPr>
                  </w:pPr>
                  <w:r>
                    <w:rPr>
                      <w:rFonts w:hint="eastAsia"/>
                      <w:kern w:val="0"/>
                      <w:sz w:val="21"/>
                      <w:szCs w:val="21"/>
                    </w:rPr>
                    <w:t>废导热油</w:t>
                  </w:r>
                </w:p>
              </w:tc>
              <w:tc>
                <w:tcPr>
                  <w:tcW w:w="330" w:type="pct"/>
                  <w:vAlign w:val="center"/>
                </w:tcPr>
                <w:p>
                  <w:pPr>
                    <w:adjustRightInd w:val="0"/>
                    <w:snapToGrid w:val="0"/>
                    <w:spacing w:line="360" w:lineRule="auto"/>
                    <w:jc w:val="center"/>
                    <w:rPr>
                      <w:kern w:val="0"/>
                      <w:sz w:val="21"/>
                      <w:szCs w:val="21"/>
                    </w:rPr>
                  </w:pPr>
                  <w:r>
                    <w:rPr>
                      <w:rFonts w:hint="eastAsia"/>
                      <w:kern w:val="0"/>
                      <w:sz w:val="21"/>
                      <w:szCs w:val="21"/>
                    </w:rPr>
                    <w:t>危险废物</w:t>
                  </w:r>
                </w:p>
              </w:tc>
              <w:tc>
                <w:tcPr>
                  <w:tcW w:w="448" w:type="pct"/>
                  <w:vAlign w:val="center"/>
                </w:tcPr>
                <w:p>
                  <w:pPr>
                    <w:adjustRightInd w:val="0"/>
                    <w:snapToGrid w:val="0"/>
                    <w:spacing w:line="360" w:lineRule="auto"/>
                    <w:jc w:val="center"/>
                    <w:rPr>
                      <w:kern w:val="0"/>
                      <w:sz w:val="21"/>
                      <w:szCs w:val="21"/>
                    </w:rPr>
                  </w:pPr>
                  <w:r>
                    <w:rPr>
                      <w:rFonts w:hint="eastAsia"/>
                      <w:kern w:val="0"/>
                      <w:sz w:val="21"/>
                      <w:szCs w:val="21"/>
                    </w:rPr>
                    <w:t>锅炉</w:t>
                  </w:r>
                </w:p>
              </w:tc>
              <w:tc>
                <w:tcPr>
                  <w:tcW w:w="448" w:type="pct"/>
                  <w:vAlign w:val="center"/>
                </w:tcPr>
                <w:p>
                  <w:pPr>
                    <w:jc w:val="center"/>
                    <w:rPr>
                      <w:kern w:val="0"/>
                      <w:sz w:val="21"/>
                      <w:szCs w:val="21"/>
                    </w:rPr>
                  </w:pPr>
                  <w:r>
                    <w:rPr>
                      <w:rFonts w:hint="eastAsia"/>
                      <w:kern w:val="0"/>
                      <w:sz w:val="21"/>
                      <w:szCs w:val="21"/>
                    </w:rPr>
                    <w:t>液态</w:t>
                  </w:r>
                </w:p>
              </w:tc>
              <w:tc>
                <w:tcPr>
                  <w:tcW w:w="448" w:type="pct"/>
                  <w:vAlign w:val="center"/>
                </w:tcPr>
                <w:p>
                  <w:pPr>
                    <w:adjustRightInd w:val="0"/>
                    <w:snapToGrid w:val="0"/>
                    <w:spacing w:line="360" w:lineRule="auto"/>
                    <w:jc w:val="center"/>
                    <w:rPr>
                      <w:kern w:val="0"/>
                      <w:sz w:val="21"/>
                      <w:szCs w:val="21"/>
                    </w:rPr>
                  </w:pPr>
                  <w:r>
                    <w:rPr>
                      <w:rFonts w:hint="eastAsia"/>
                      <w:kern w:val="0"/>
                      <w:sz w:val="21"/>
                      <w:szCs w:val="21"/>
                    </w:rPr>
                    <w:t>导热油</w:t>
                  </w:r>
                </w:p>
              </w:tc>
              <w:tc>
                <w:tcPr>
                  <w:tcW w:w="632" w:type="pct"/>
                  <w:vAlign w:val="center"/>
                </w:tcPr>
                <w:p>
                  <w:pPr>
                    <w:adjustRightInd w:val="0"/>
                    <w:snapToGrid w:val="0"/>
                    <w:spacing w:line="360" w:lineRule="auto"/>
                    <w:jc w:val="center"/>
                    <w:rPr>
                      <w:kern w:val="0"/>
                      <w:sz w:val="21"/>
                      <w:szCs w:val="21"/>
                    </w:rPr>
                  </w:pPr>
                  <w:r>
                    <w:rPr>
                      <w:rFonts w:hint="eastAsia"/>
                      <w:kern w:val="0"/>
                      <w:sz w:val="21"/>
                      <w:szCs w:val="21"/>
                    </w:rPr>
                    <w:t>《国家</w:t>
                  </w:r>
                </w:p>
                <w:p>
                  <w:pPr>
                    <w:adjustRightInd w:val="0"/>
                    <w:snapToGrid w:val="0"/>
                    <w:spacing w:line="360" w:lineRule="auto"/>
                    <w:jc w:val="center"/>
                    <w:rPr>
                      <w:kern w:val="0"/>
                      <w:sz w:val="21"/>
                      <w:szCs w:val="21"/>
                    </w:rPr>
                  </w:pPr>
                  <w:r>
                    <w:rPr>
                      <w:rFonts w:hint="eastAsia"/>
                      <w:kern w:val="0"/>
                      <w:sz w:val="21"/>
                      <w:szCs w:val="21"/>
                    </w:rPr>
                    <w:t>危险废</w:t>
                  </w:r>
                </w:p>
                <w:p>
                  <w:pPr>
                    <w:adjustRightInd w:val="0"/>
                    <w:snapToGrid w:val="0"/>
                    <w:spacing w:line="360" w:lineRule="auto"/>
                    <w:jc w:val="center"/>
                    <w:rPr>
                      <w:kern w:val="0"/>
                      <w:sz w:val="21"/>
                      <w:szCs w:val="21"/>
                    </w:rPr>
                  </w:pPr>
                  <w:r>
                    <w:rPr>
                      <w:rFonts w:hint="eastAsia"/>
                      <w:kern w:val="0"/>
                      <w:sz w:val="21"/>
                      <w:szCs w:val="21"/>
                    </w:rPr>
                    <w:t>物名</w:t>
                  </w:r>
                </w:p>
                <w:p>
                  <w:pPr>
                    <w:adjustRightInd w:val="0"/>
                    <w:snapToGrid w:val="0"/>
                    <w:spacing w:line="360" w:lineRule="auto"/>
                    <w:jc w:val="center"/>
                    <w:rPr>
                      <w:kern w:val="0"/>
                      <w:sz w:val="21"/>
                      <w:szCs w:val="21"/>
                    </w:rPr>
                  </w:pPr>
                  <w:r>
                    <w:rPr>
                      <w:rFonts w:hint="eastAsia"/>
                      <w:kern w:val="0"/>
                      <w:sz w:val="21"/>
                      <w:szCs w:val="21"/>
                    </w:rPr>
                    <w:t>录》（2021）</w:t>
                  </w:r>
                </w:p>
              </w:tc>
              <w:tc>
                <w:tcPr>
                  <w:tcW w:w="342" w:type="pct"/>
                  <w:vAlign w:val="center"/>
                </w:tcPr>
                <w:p>
                  <w:pPr>
                    <w:adjustRightInd w:val="0"/>
                    <w:snapToGrid w:val="0"/>
                    <w:spacing w:line="360" w:lineRule="auto"/>
                    <w:jc w:val="center"/>
                    <w:rPr>
                      <w:kern w:val="0"/>
                      <w:sz w:val="21"/>
                      <w:szCs w:val="21"/>
                    </w:rPr>
                  </w:pPr>
                  <w:r>
                    <w:rPr>
                      <w:rFonts w:hint="eastAsia"/>
                      <w:kern w:val="0"/>
                      <w:sz w:val="21"/>
                      <w:szCs w:val="21"/>
                    </w:rPr>
                    <w:t>T</w:t>
                  </w:r>
                </w:p>
              </w:tc>
              <w:tc>
                <w:tcPr>
                  <w:tcW w:w="465" w:type="pct"/>
                  <w:vAlign w:val="center"/>
                </w:tcPr>
                <w:p>
                  <w:pPr>
                    <w:adjustRightInd w:val="0"/>
                    <w:snapToGrid w:val="0"/>
                    <w:spacing w:line="360" w:lineRule="auto"/>
                    <w:jc w:val="center"/>
                    <w:rPr>
                      <w:kern w:val="0"/>
                      <w:sz w:val="21"/>
                      <w:szCs w:val="21"/>
                    </w:rPr>
                  </w:pPr>
                  <w:r>
                    <w:rPr>
                      <w:kern w:val="0"/>
                      <w:sz w:val="21"/>
                      <w:szCs w:val="21"/>
                    </w:rPr>
                    <w:t>HW08</w:t>
                  </w:r>
                </w:p>
              </w:tc>
              <w:tc>
                <w:tcPr>
                  <w:tcW w:w="716" w:type="pct"/>
                  <w:vAlign w:val="center"/>
                </w:tcPr>
                <w:p>
                  <w:pPr>
                    <w:adjustRightInd w:val="0"/>
                    <w:snapToGrid w:val="0"/>
                    <w:spacing w:line="360" w:lineRule="auto"/>
                    <w:jc w:val="center"/>
                    <w:rPr>
                      <w:kern w:val="0"/>
                      <w:sz w:val="21"/>
                      <w:szCs w:val="21"/>
                    </w:rPr>
                  </w:pPr>
                  <w:r>
                    <w:rPr>
                      <w:kern w:val="0"/>
                      <w:sz w:val="21"/>
                      <w:szCs w:val="21"/>
                    </w:rPr>
                    <w:t>900-249-08</w:t>
                  </w:r>
                </w:p>
              </w:tc>
              <w:tc>
                <w:tcPr>
                  <w:tcW w:w="412" w:type="pct"/>
                  <w:vAlign w:val="center"/>
                </w:tcPr>
                <w:p>
                  <w:pPr>
                    <w:adjustRightInd w:val="0"/>
                    <w:snapToGrid w:val="0"/>
                    <w:spacing w:line="360" w:lineRule="auto"/>
                    <w:jc w:val="center"/>
                    <w:rPr>
                      <w:kern w:val="0"/>
                      <w:sz w:val="21"/>
                      <w:szCs w:val="21"/>
                    </w:rPr>
                  </w:pPr>
                  <w:r>
                    <w:rPr>
                      <w:kern w:val="0"/>
                      <w:sz w:val="21"/>
                      <w:szCs w:val="21"/>
                    </w:rPr>
                    <w:t>2</w:t>
                  </w:r>
                  <w:r>
                    <w:rPr>
                      <w:rFonts w:hint="eastAsia"/>
                      <w:kern w:val="0"/>
                      <w:sz w:val="21"/>
                      <w:szCs w:val="21"/>
                    </w:rPr>
                    <w:t>.</w:t>
                  </w:r>
                  <w:r>
                    <w:rPr>
                      <w:kern w:val="0"/>
                      <w:sz w:val="21"/>
                      <w:szCs w:val="21"/>
                    </w:rPr>
                    <w:t>5</w:t>
                  </w:r>
                </w:p>
              </w:tc>
            </w:tr>
          </w:tbl>
          <w:p>
            <w:pPr>
              <w:adjustRightInd w:val="0"/>
              <w:snapToGrid w:val="0"/>
              <w:spacing w:line="360" w:lineRule="auto"/>
              <w:ind w:firstLine="482" w:firstLineChars="200"/>
              <w:rPr>
                <w:kern w:val="0"/>
                <w:szCs w:val="20"/>
              </w:rPr>
            </w:pPr>
            <w:r>
              <w:rPr>
                <w:rFonts w:hint="eastAsia"/>
                <w:b/>
                <w:kern w:val="0"/>
                <w:szCs w:val="20"/>
              </w:rPr>
              <w:t>一般固废：</w:t>
            </w:r>
            <w:r>
              <w:rPr>
                <w:rFonts w:hint="eastAsia"/>
                <w:kern w:val="0"/>
                <w:szCs w:val="20"/>
              </w:rPr>
              <w:t>本项目工业固废分类管理。收集后分类，暂存于固废物堆放场，定期委托厂家回收或定期外售处理。</w:t>
            </w:r>
          </w:p>
          <w:p>
            <w:pPr>
              <w:adjustRightInd w:val="0"/>
              <w:snapToGrid w:val="0"/>
              <w:spacing w:line="360" w:lineRule="auto"/>
              <w:ind w:firstLine="480" w:firstLineChars="200"/>
              <w:rPr>
                <w:kern w:val="0"/>
                <w:szCs w:val="20"/>
              </w:rPr>
            </w:pPr>
            <w:r>
              <w:rPr>
                <w:rFonts w:hint="eastAsia"/>
                <w:kern w:val="0"/>
                <w:szCs w:val="20"/>
              </w:rPr>
              <w:t>项目厂区内现有一般固废堆放场所，位于原料堆场西北侧，</w:t>
            </w:r>
            <w:r>
              <w:rPr>
                <w:rFonts w:hint="eastAsia"/>
                <w:color w:val="FF0000"/>
                <w:kern w:val="0"/>
                <w:szCs w:val="20"/>
              </w:rPr>
              <w:t>占地面积约为30m</w:t>
            </w:r>
            <w:r>
              <w:rPr>
                <w:rFonts w:hint="eastAsia"/>
                <w:color w:val="FF0000"/>
                <w:kern w:val="0"/>
                <w:szCs w:val="20"/>
                <w:vertAlign w:val="superscript"/>
              </w:rPr>
              <w:t>2</w:t>
            </w:r>
            <w:r>
              <w:rPr>
                <w:rFonts w:hint="eastAsia"/>
                <w:kern w:val="0"/>
                <w:szCs w:val="20"/>
              </w:rPr>
              <w:t>，用于堆放废边角料和粉尘等一般固废。一般固废堆放场所选址，运行等满足《一般工业固体废物贮存和填埋 污染控制标准》（GB18599-2020）中相关要求。</w:t>
            </w:r>
          </w:p>
          <w:p>
            <w:pPr>
              <w:adjustRightInd w:val="0"/>
              <w:snapToGrid w:val="0"/>
              <w:spacing w:line="360" w:lineRule="auto"/>
              <w:ind w:firstLine="482" w:firstLineChars="200"/>
              <w:rPr>
                <w:kern w:val="0"/>
                <w:szCs w:val="20"/>
              </w:rPr>
            </w:pPr>
            <w:r>
              <w:rPr>
                <w:b/>
                <w:bCs/>
                <w:kern w:val="0"/>
                <w:szCs w:val="20"/>
              </w:rPr>
              <w:t>危险废物：</w:t>
            </w:r>
            <w:r>
              <w:rPr>
                <w:rFonts w:hint="eastAsia"/>
                <w:bCs/>
                <w:color w:val="FF0000"/>
                <w:kern w:val="0"/>
                <w:szCs w:val="20"/>
              </w:rPr>
              <w:t>项目产生的危险废物依托现有危废暂存间，位于厂区西侧，占地面积约为35.7m</w:t>
            </w:r>
            <w:r>
              <w:rPr>
                <w:rFonts w:hint="eastAsia"/>
                <w:bCs/>
                <w:color w:val="FF0000"/>
                <w:kern w:val="0"/>
                <w:szCs w:val="20"/>
                <w:vertAlign w:val="superscript"/>
              </w:rPr>
              <w:t>2</w:t>
            </w:r>
            <w:r>
              <w:rPr>
                <w:rFonts w:hint="eastAsia"/>
                <w:color w:val="FF0000"/>
                <w:kern w:val="0"/>
                <w:szCs w:val="20"/>
              </w:rPr>
              <w:t>，</w:t>
            </w:r>
            <w:r>
              <w:rPr>
                <w:rFonts w:hint="eastAsia"/>
                <w:kern w:val="0"/>
                <w:szCs w:val="20"/>
              </w:rPr>
              <w:t>危废由专人负责管理，为防止危险废物储存期间对环境产生不利影响，贮存室内应有隔离设施、防风、防晒、防雨、防渗、防火设施，具体要求如下：建设单位设置的危废贮存场所严格按照《危险废物贮存污染控制标准》（GB18597-2001）及修改公告（环境保护部公告 2013 年第 36 号）要求设置，危险废物的收集、运输应按照《危险废物收集、贮存、运输技术规范》（HJ2025-2012）要求进行。</w:t>
            </w:r>
          </w:p>
          <w:p>
            <w:pPr>
              <w:adjustRightInd w:val="0"/>
              <w:snapToGrid w:val="0"/>
              <w:spacing w:line="360" w:lineRule="auto"/>
              <w:ind w:firstLine="482" w:firstLineChars="200"/>
              <w:rPr>
                <w:b/>
                <w:kern w:val="0"/>
                <w:szCs w:val="20"/>
              </w:rPr>
            </w:pPr>
            <w:r>
              <w:rPr>
                <w:rFonts w:hint="eastAsia"/>
                <w:b/>
                <w:kern w:val="0"/>
                <w:szCs w:val="20"/>
              </w:rPr>
              <w:t>3、安全贮存技术要求</w:t>
            </w:r>
          </w:p>
          <w:p>
            <w:pPr>
              <w:adjustRightInd w:val="0"/>
              <w:snapToGrid w:val="0"/>
              <w:spacing w:line="360" w:lineRule="auto"/>
              <w:ind w:firstLine="482" w:firstLineChars="200"/>
              <w:rPr>
                <w:b/>
                <w:kern w:val="0"/>
                <w:szCs w:val="20"/>
              </w:rPr>
            </w:pPr>
            <w:r>
              <w:rPr>
                <w:rFonts w:hint="eastAsia"/>
                <w:b/>
                <w:kern w:val="0"/>
                <w:szCs w:val="20"/>
              </w:rPr>
              <w:t>原料库：</w:t>
            </w:r>
          </w:p>
          <w:p>
            <w:pPr>
              <w:adjustRightInd w:val="0"/>
              <w:snapToGrid w:val="0"/>
              <w:spacing w:line="360" w:lineRule="auto"/>
              <w:ind w:firstLine="480" w:firstLineChars="200"/>
              <w:rPr>
                <w:kern w:val="0"/>
                <w:szCs w:val="20"/>
              </w:rPr>
            </w:pPr>
            <w:r>
              <w:rPr>
                <w:rFonts w:hint="eastAsia"/>
                <w:kern w:val="0"/>
                <w:szCs w:val="20"/>
              </w:rPr>
              <w:t>①原辅材料分区放置于原料库内，不得混放。②不得露天堆放，防止雨水进入产生二次污染。③原料仓库内严格防渗，液体原料底部设置防渗围堰或托盘。④原料仓库内保持干燥通风，严禁明火。</w:t>
            </w:r>
          </w:p>
          <w:p>
            <w:pPr>
              <w:adjustRightInd w:val="0"/>
              <w:snapToGrid w:val="0"/>
              <w:spacing w:line="360" w:lineRule="auto"/>
              <w:ind w:firstLine="482" w:firstLineChars="200"/>
              <w:rPr>
                <w:kern w:val="0"/>
                <w:szCs w:val="20"/>
              </w:rPr>
            </w:pPr>
            <w:r>
              <w:rPr>
                <w:rFonts w:hint="eastAsia"/>
                <w:b/>
                <w:kern w:val="0"/>
                <w:szCs w:val="20"/>
              </w:rPr>
              <w:t>一般工业固废</w:t>
            </w:r>
            <w:r>
              <w:rPr>
                <w:rFonts w:hint="eastAsia"/>
                <w:kern w:val="0"/>
                <w:szCs w:val="20"/>
              </w:rPr>
              <w:t>：</w:t>
            </w:r>
          </w:p>
          <w:p>
            <w:pPr>
              <w:adjustRightInd w:val="0"/>
              <w:snapToGrid w:val="0"/>
              <w:spacing w:line="360" w:lineRule="auto"/>
              <w:ind w:firstLine="480" w:firstLineChars="200"/>
              <w:rPr>
                <w:kern w:val="0"/>
                <w:szCs w:val="20"/>
              </w:rPr>
            </w:pPr>
            <w:r>
              <w:rPr>
                <w:rFonts w:hint="eastAsia"/>
                <w:kern w:val="0"/>
                <w:szCs w:val="20"/>
              </w:rPr>
              <w:t>①要按照《一般工业固体废物贮存和填埋 污染控制标准》（GB18599-2020）的要求设置暂存场所。②不得露天堆放，防止雨水进入产生二次污染。</w:t>
            </w:r>
          </w:p>
          <w:p>
            <w:pPr>
              <w:adjustRightInd w:val="0"/>
              <w:snapToGrid w:val="0"/>
              <w:spacing w:line="360" w:lineRule="auto"/>
              <w:ind w:firstLine="480" w:firstLineChars="200"/>
              <w:rPr>
                <w:kern w:val="0"/>
                <w:szCs w:val="20"/>
              </w:rPr>
            </w:pPr>
            <w:r>
              <w:rPr>
                <w:rFonts w:hint="eastAsia"/>
                <w:kern w:val="0"/>
                <w:szCs w:val="20"/>
              </w:rPr>
              <w:t>一般工业固体废物临时贮存仓库按照《一般工业固体废物贮存和填埋 污染控制标准》（GB18599-2020）Ⅱ类场标准相关要求建设，地面基础及内墙采取防渗措施，使用防水混凝土。</w:t>
            </w:r>
          </w:p>
          <w:p>
            <w:pPr>
              <w:adjustRightInd w:val="0"/>
              <w:snapToGrid w:val="0"/>
              <w:spacing w:line="360" w:lineRule="auto"/>
              <w:ind w:firstLine="480" w:firstLineChars="200"/>
              <w:rPr>
                <w:kern w:val="0"/>
                <w:szCs w:val="20"/>
              </w:rPr>
            </w:pPr>
            <w:r>
              <w:rPr>
                <w:rFonts w:hint="eastAsia"/>
                <w:kern w:val="0"/>
                <w:szCs w:val="20"/>
              </w:rPr>
              <w:t>一般固体废物按照不同的类别和性质，分区堆放。通过规范设置固体废物暂存场，同时建立完善厂内固体废物防范措施和管理制度，可使固体废物在收集、存放过程中对环境的影响至最低限度。</w:t>
            </w:r>
          </w:p>
          <w:p>
            <w:pPr>
              <w:adjustRightInd w:val="0"/>
              <w:snapToGrid w:val="0"/>
              <w:spacing w:line="360" w:lineRule="auto"/>
              <w:ind w:firstLine="482" w:firstLineChars="200"/>
              <w:rPr>
                <w:b/>
                <w:bCs/>
                <w:kern w:val="0"/>
                <w:szCs w:val="20"/>
              </w:rPr>
            </w:pPr>
            <w:r>
              <w:rPr>
                <w:rFonts w:hint="eastAsia"/>
                <w:b/>
                <w:bCs/>
                <w:kern w:val="0"/>
                <w:szCs w:val="20"/>
              </w:rPr>
              <w:t>危险废物：</w:t>
            </w:r>
          </w:p>
          <w:p>
            <w:pPr>
              <w:adjustRightInd w:val="0"/>
              <w:snapToGrid w:val="0"/>
              <w:spacing w:line="360" w:lineRule="auto"/>
              <w:ind w:firstLine="489" w:firstLineChars="204"/>
            </w:pPr>
            <w:r>
              <w:rPr>
                <w:rFonts w:hint="eastAsia" w:ascii="宋体" w:hAnsi="宋体" w:cs="宋体"/>
              </w:rPr>
              <w:t>①</w:t>
            </w:r>
            <w:r>
              <w:t>企业应及时将生产过程产生的各种危险废物进行处理，在未处理期间，应集中收集，专人管理，集中贮存，各类危废应按性质不同分类进行贮存。</w:t>
            </w:r>
          </w:p>
          <w:p>
            <w:pPr>
              <w:spacing w:line="360" w:lineRule="auto"/>
              <w:ind w:firstLine="480" w:firstLineChars="200"/>
              <w:rPr>
                <w:kern w:val="0"/>
              </w:rPr>
            </w:pPr>
            <w:r>
              <w:rPr>
                <w:rFonts w:hint="eastAsia" w:ascii="宋体" w:hAnsi="宋体" w:cs="宋体"/>
              </w:rPr>
              <w:t>②</w:t>
            </w:r>
            <w:r>
              <w:rPr>
                <w:rFonts w:hint="eastAsia"/>
              </w:rPr>
              <w:t>新建</w:t>
            </w:r>
            <w:r>
              <w:t>危险废物暂存间，危险废物贮存设施满足《危险废物贮存污染控制标准》（GB18597-2001）修改单的要求。</w:t>
            </w:r>
            <w:r>
              <w:rPr>
                <w:bCs/>
                <w:kern w:val="0"/>
              </w:rPr>
              <w:t>为防止危险废物的对周围环境产生不利影响，危废间地面应设置防渗层和泄露液体收集装置；危废暂存间地面做防渗处理，采用防渗钢筋混凝土，表面涂刷水泥基渗透结晶型防渗涂料，渗透系数＜1.0x10-</w:t>
            </w:r>
            <w:r>
              <w:rPr>
                <w:bCs/>
                <w:kern w:val="0"/>
                <w:vertAlign w:val="superscript"/>
              </w:rPr>
              <w:t>12</w:t>
            </w:r>
            <w:r>
              <w:rPr>
                <w:bCs/>
                <w:kern w:val="0"/>
              </w:rPr>
              <w:t>cm/s。对防渗层及时查修，确保防渗层达到设计要求。危废暂存间按照相关规范进行建设，达到满足《危险废物贮存污染控制标准》、《危险废物污染防治技术政策》防渗要求，同时不同危险物质分区存放且有明显间隔；设立完整的危废标识等</w:t>
            </w:r>
            <w:r>
              <w:rPr>
                <w:kern w:val="0"/>
              </w:rPr>
              <w:t>。</w:t>
            </w:r>
          </w:p>
          <w:p>
            <w:pPr>
              <w:spacing w:line="360" w:lineRule="auto"/>
              <w:ind w:firstLine="480" w:firstLineChars="200"/>
              <w:rPr>
                <w:kern w:val="0"/>
              </w:rPr>
            </w:pPr>
            <w:r>
              <w:rPr>
                <w:rFonts w:hint="eastAsia"/>
                <w:kern w:val="0"/>
              </w:rPr>
              <w:t>③暂存间外显著位置设置危废信息公开栏，暂存间门口警示、标示齐全，内部各种危废种类齐全，各类危废要用围堰清晰隔离分区，大小标签齐全；管理方面要台账齐全，有危废产生环节示意图，各种规章制度、岗位责任制健全；</w:t>
            </w:r>
          </w:p>
          <w:p>
            <w:pPr>
              <w:spacing w:line="360" w:lineRule="auto"/>
              <w:ind w:firstLine="480" w:firstLineChars="200"/>
              <w:rPr>
                <w:kern w:val="0"/>
              </w:rPr>
            </w:pPr>
            <w:r>
              <w:rPr>
                <w:rFonts w:hint="eastAsia"/>
                <w:kern w:val="0"/>
              </w:rPr>
              <w:t>④按要求在固废平台网上申报备案。</w:t>
            </w:r>
          </w:p>
          <w:p>
            <w:pPr>
              <w:adjustRightInd w:val="0"/>
              <w:snapToGrid w:val="0"/>
              <w:spacing w:line="360" w:lineRule="auto"/>
              <w:ind w:firstLine="480" w:firstLineChars="200"/>
              <w:rPr>
                <w:kern w:val="0"/>
                <w:szCs w:val="20"/>
              </w:rPr>
            </w:pPr>
            <w:r>
              <w:rPr>
                <w:rFonts w:hint="eastAsia"/>
                <w:kern w:val="0"/>
                <w:szCs w:val="20"/>
              </w:rPr>
              <w:t>本项目固废经采取以上处置措施后，实现无害化，对周围环境影响较小。</w:t>
            </w:r>
          </w:p>
          <w:p>
            <w:pPr>
              <w:adjustRightInd w:val="0"/>
              <w:snapToGrid w:val="0"/>
              <w:spacing w:line="360" w:lineRule="auto"/>
              <w:ind w:firstLine="482" w:firstLineChars="200"/>
              <w:rPr>
                <w:b/>
                <w:kern w:val="0"/>
                <w:szCs w:val="20"/>
              </w:rPr>
            </w:pPr>
            <w:r>
              <w:rPr>
                <w:rFonts w:hint="eastAsia"/>
                <w:b/>
                <w:kern w:val="0"/>
                <w:szCs w:val="20"/>
              </w:rPr>
              <w:t>4、固体废物环境影响分析</w:t>
            </w:r>
          </w:p>
          <w:p>
            <w:pPr>
              <w:adjustRightInd w:val="0"/>
              <w:snapToGrid w:val="0"/>
              <w:spacing w:line="360" w:lineRule="auto"/>
              <w:ind w:firstLine="480" w:firstLineChars="200"/>
              <w:rPr>
                <w:kern w:val="0"/>
                <w:szCs w:val="20"/>
              </w:rPr>
            </w:pPr>
            <w:r>
              <w:rPr>
                <w:rFonts w:hint="eastAsia"/>
                <w:kern w:val="0"/>
                <w:szCs w:val="20"/>
              </w:rPr>
              <w:t>固体废物的处理处置应遵循分类收集、优先综合利用等原则，</w:t>
            </w:r>
            <w:r>
              <w:rPr>
                <w:kern w:val="0"/>
                <w:szCs w:val="20"/>
              </w:rPr>
              <w:t>本项目固体废物产生及处理措施见下表：</w:t>
            </w:r>
          </w:p>
          <w:p>
            <w:pPr>
              <w:pStyle w:val="100"/>
            </w:pPr>
            <w:r>
              <w:t>表</w:t>
            </w:r>
            <w:r>
              <w:rPr>
                <w:rFonts w:hint="eastAsia"/>
              </w:rPr>
              <w:t>4-</w:t>
            </w:r>
            <w:r>
              <w:t>19</w:t>
            </w:r>
            <w:r>
              <w:rPr>
                <w:rFonts w:hint="eastAsia"/>
              </w:rPr>
              <w:t xml:space="preserve"> </w:t>
            </w:r>
            <w:r>
              <w:t>项目固废产生汇总表</w:t>
            </w:r>
          </w:p>
          <w:tbl>
            <w:tblPr>
              <w:tblStyle w:val="50"/>
              <w:tblW w:w="834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1765"/>
              <w:gridCol w:w="1595"/>
              <w:gridCol w:w="323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743" w:type="dxa"/>
                  <w:vAlign w:val="center"/>
                </w:tcPr>
                <w:p>
                  <w:pPr>
                    <w:pStyle w:val="215"/>
                    <w:rPr>
                      <w:b/>
                      <w:bCs w:val="0"/>
                    </w:rPr>
                  </w:pPr>
                  <w:r>
                    <w:rPr>
                      <w:b/>
                      <w:bCs w:val="0"/>
                    </w:rPr>
                    <w:t>名称</w:t>
                  </w:r>
                </w:p>
              </w:tc>
              <w:tc>
                <w:tcPr>
                  <w:tcW w:w="1765" w:type="dxa"/>
                  <w:vAlign w:val="center"/>
                </w:tcPr>
                <w:p>
                  <w:pPr>
                    <w:pStyle w:val="215"/>
                    <w:rPr>
                      <w:b/>
                      <w:bCs w:val="0"/>
                    </w:rPr>
                  </w:pPr>
                  <w:r>
                    <w:rPr>
                      <w:b/>
                      <w:bCs w:val="0"/>
                    </w:rPr>
                    <w:t>固废性质</w:t>
                  </w:r>
                </w:p>
              </w:tc>
              <w:tc>
                <w:tcPr>
                  <w:tcW w:w="1595" w:type="dxa"/>
                  <w:vAlign w:val="center"/>
                </w:tcPr>
                <w:p>
                  <w:pPr>
                    <w:pStyle w:val="215"/>
                    <w:rPr>
                      <w:b/>
                      <w:bCs w:val="0"/>
                    </w:rPr>
                  </w:pPr>
                  <w:r>
                    <w:rPr>
                      <w:b/>
                      <w:bCs w:val="0"/>
                    </w:rPr>
                    <w:t>产生量（t/a）</w:t>
                  </w:r>
                </w:p>
              </w:tc>
              <w:tc>
                <w:tcPr>
                  <w:tcW w:w="3238" w:type="dxa"/>
                  <w:vAlign w:val="center"/>
                </w:tcPr>
                <w:p>
                  <w:pPr>
                    <w:pStyle w:val="215"/>
                    <w:rPr>
                      <w:b/>
                      <w:bCs w:val="0"/>
                    </w:rPr>
                  </w:pPr>
                  <w:r>
                    <w:rPr>
                      <w:b/>
                      <w:bCs w:val="0"/>
                    </w:rPr>
                    <w:t>污染防治措施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743" w:type="dxa"/>
                  <w:vAlign w:val="center"/>
                </w:tcPr>
                <w:p>
                  <w:pPr>
                    <w:pStyle w:val="215"/>
                  </w:pPr>
                  <w:bookmarkStart w:id="14" w:name="_Hlk71017565"/>
                  <w:r>
                    <w:rPr>
                      <w:rFonts w:hint="eastAsia"/>
                    </w:rPr>
                    <w:t>粉尘</w:t>
                  </w:r>
                </w:p>
              </w:tc>
              <w:tc>
                <w:tcPr>
                  <w:tcW w:w="1765" w:type="dxa"/>
                  <w:vMerge w:val="restart"/>
                  <w:vAlign w:val="center"/>
                </w:tcPr>
                <w:p>
                  <w:pPr>
                    <w:pStyle w:val="215"/>
                  </w:pPr>
                  <w:r>
                    <w:rPr>
                      <w:rFonts w:hint="eastAsia"/>
                    </w:rPr>
                    <w:t>一般固废</w:t>
                  </w:r>
                </w:p>
              </w:tc>
              <w:tc>
                <w:tcPr>
                  <w:tcW w:w="1595" w:type="dxa"/>
                  <w:vAlign w:val="center"/>
                </w:tcPr>
                <w:p>
                  <w:pPr>
                    <w:pStyle w:val="215"/>
                  </w:pPr>
                  <w:r>
                    <w:rPr>
                      <w:lang w:val="en-GB"/>
                    </w:rPr>
                    <w:t>182</w:t>
                  </w:r>
                  <w:r>
                    <w:rPr>
                      <w:rFonts w:hint="eastAsia"/>
                      <w:lang w:val="en-GB"/>
                    </w:rPr>
                    <w:t>.</w:t>
                  </w:r>
                  <w:r>
                    <w:rPr>
                      <w:lang w:val="en-GB"/>
                    </w:rPr>
                    <w:t>8388</w:t>
                  </w:r>
                </w:p>
              </w:tc>
              <w:tc>
                <w:tcPr>
                  <w:tcW w:w="3238" w:type="dxa"/>
                  <w:vAlign w:val="center"/>
                </w:tcPr>
                <w:p>
                  <w:pPr>
                    <w:pStyle w:val="215"/>
                  </w:pPr>
                  <w:r>
                    <w:rPr>
                      <w:rFonts w:hint="eastAsia"/>
                    </w:rPr>
                    <w:t>回用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743" w:type="dxa"/>
                  <w:vAlign w:val="center"/>
                </w:tcPr>
                <w:p>
                  <w:pPr>
                    <w:pStyle w:val="215"/>
                  </w:pPr>
                  <w:r>
                    <w:rPr>
                      <w:rFonts w:hint="eastAsia"/>
                    </w:rPr>
                    <w:t>边角料</w:t>
                  </w:r>
                </w:p>
              </w:tc>
              <w:tc>
                <w:tcPr>
                  <w:tcW w:w="1765" w:type="dxa"/>
                  <w:vMerge w:val="continue"/>
                  <w:vAlign w:val="center"/>
                </w:tcPr>
                <w:p>
                  <w:pPr>
                    <w:pStyle w:val="215"/>
                  </w:pPr>
                </w:p>
              </w:tc>
              <w:tc>
                <w:tcPr>
                  <w:tcW w:w="1595" w:type="dxa"/>
                  <w:vAlign w:val="center"/>
                </w:tcPr>
                <w:p>
                  <w:pPr>
                    <w:pStyle w:val="215"/>
                  </w:pPr>
                  <w:r>
                    <w:rPr>
                      <w:rFonts w:hint="eastAsia"/>
                    </w:rPr>
                    <w:t>1</w:t>
                  </w:r>
                  <w:r>
                    <w:t>50</w:t>
                  </w:r>
                </w:p>
              </w:tc>
              <w:tc>
                <w:tcPr>
                  <w:tcW w:w="3238" w:type="dxa"/>
                  <w:vAlign w:val="center"/>
                </w:tcPr>
                <w:p>
                  <w:pPr>
                    <w:pStyle w:val="215"/>
                    <w:rPr>
                      <w:lang w:val="en-GB"/>
                    </w:rPr>
                  </w:pPr>
                  <w:r>
                    <w:rPr>
                      <w:rFonts w:hint="eastAsia"/>
                      <w:lang w:val="en-GB"/>
                    </w:rPr>
                    <w:t>回用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743" w:type="dxa"/>
                  <w:vAlign w:val="center"/>
                </w:tcPr>
                <w:p>
                  <w:pPr>
                    <w:pStyle w:val="215"/>
                  </w:pPr>
                  <w:r>
                    <w:rPr>
                      <w:rFonts w:hint="eastAsia"/>
                    </w:rPr>
                    <w:t>不合格品</w:t>
                  </w:r>
                </w:p>
              </w:tc>
              <w:tc>
                <w:tcPr>
                  <w:tcW w:w="1765" w:type="dxa"/>
                  <w:vMerge w:val="continue"/>
                  <w:vAlign w:val="center"/>
                </w:tcPr>
                <w:p>
                  <w:pPr>
                    <w:pStyle w:val="215"/>
                  </w:pPr>
                </w:p>
              </w:tc>
              <w:tc>
                <w:tcPr>
                  <w:tcW w:w="1595" w:type="dxa"/>
                  <w:vAlign w:val="center"/>
                </w:tcPr>
                <w:p>
                  <w:pPr>
                    <w:pStyle w:val="215"/>
                  </w:pPr>
                  <w:r>
                    <w:rPr>
                      <w:rFonts w:hint="eastAsia"/>
                    </w:rPr>
                    <w:t>1</w:t>
                  </w:r>
                  <w:r>
                    <w:t>70</w:t>
                  </w:r>
                </w:p>
              </w:tc>
              <w:tc>
                <w:tcPr>
                  <w:tcW w:w="3238" w:type="dxa"/>
                  <w:vAlign w:val="center"/>
                </w:tcPr>
                <w:p>
                  <w:pPr>
                    <w:pStyle w:val="215"/>
                    <w:rPr>
                      <w:lang w:val="en-GB"/>
                    </w:rPr>
                  </w:pPr>
                  <w:r>
                    <w:rPr>
                      <w:rFonts w:hint="eastAsia"/>
                      <w:lang w:val="en-GB"/>
                    </w:rPr>
                    <w:t>回用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8" w:hRule="atLeast"/>
                <w:jc w:val="center"/>
              </w:trPr>
              <w:tc>
                <w:tcPr>
                  <w:tcW w:w="1743" w:type="dxa"/>
                  <w:vAlign w:val="center"/>
                </w:tcPr>
                <w:p>
                  <w:pPr>
                    <w:pStyle w:val="215"/>
                  </w:pPr>
                  <w:r>
                    <w:rPr>
                      <w:rFonts w:hint="eastAsia"/>
                    </w:rPr>
                    <w:t>废导热油</w:t>
                  </w:r>
                </w:p>
              </w:tc>
              <w:tc>
                <w:tcPr>
                  <w:tcW w:w="1765" w:type="dxa"/>
                  <w:vAlign w:val="center"/>
                </w:tcPr>
                <w:p>
                  <w:pPr>
                    <w:pStyle w:val="215"/>
                  </w:pPr>
                  <w:r>
                    <w:rPr>
                      <w:rFonts w:hint="eastAsia"/>
                    </w:rPr>
                    <w:t>危险废物</w:t>
                  </w:r>
                </w:p>
              </w:tc>
              <w:tc>
                <w:tcPr>
                  <w:tcW w:w="1595" w:type="dxa"/>
                  <w:vAlign w:val="center"/>
                </w:tcPr>
                <w:p>
                  <w:pPr>
                    <w:pStyle w:val="215"/>
                  </w:pPr>
                  <w:r>
                    <w:rPr>
                      <w:rFonts w:hint="eastAsia"/>
                    </w:rPr>
                    <w:t>2.</w:t>
                  </w:r>
                  <w:r>
                    <w:t>5</w:t>
                  </w:r>
                </w:p>
              </w:tc>
              <w:tc>
                <w:tcPr>
                  <w:tcW w:w="3238" w:type="dxa"/>
                  <w:vAlign w:val="center"/>
                </w:tcPr>
                <w:p>
                  <w:pPr>
                    <w:pStyle w:val="215"/>
                    <w:rPr>
                      <w:lang w:val="en-GB"/>
                    </w:rPr>
                  </w:pPr>
                  <w:r>
                    <w:rPr>
                      <w:rFonts w:hint="eastAsia"/>
                      <w:lang w:val="en-GB"/>
                    </w:rPr>
                    <w:t>暂存于危废间，定期委托有资质单位处理</w:t>
                  </w:r>
                </w:p>
              </w:tc>
            </w:tr>
            <w:bookmarkEnd w:id="14"/>
          </w:tbl>
          <w:p>
            <w:pPr>
              <w:adjustRightInd w:val="0"/>
              <w:snapToGrid w:val="0"/>
              <w:spacing w:before="120" w:beforeLines="50" w:line="360" w:lineRule="auto"/>
              <w:ind w:firstLine="470" w:firstLineChars="196"/>
              <w:rPr>
                <w:rFonts w:eastAsia="PMingLiU"/>
                <w:lang w:val="zh-CN" w:eastAsia="zh-TW"/>
              </w:rPr>
            </w:pPr>
            <w:r>
              <w:rPr>
                <w:lang w:val="zh-CN"/>
              </w:rPr>
              <w:t>拟建</w:t>
            </w:r>
            <w:r>
              <w:rPr>
                <w:lang w:val="zh-CN" w:eastAsia="zh-TW"/>
              </w:rPr>
              <w:t>项目产生的固体废物得到了有效处置，不会对环境造成污染</w:t>
            </w:r>
            <w:r>
              <w:rPr>
                <w:lang w:val="zh-CN"/>
              </w:rPr>
              <w:t>，</w:t>
            </w:r>
            <w:r>
              <w:rPr>
                <w:lang w:val="zh-CN" w:eastAsia="zh-TW"/>
              </w:rPr>
              <w:t>固体废物对环境的不利影响较小。</w:t>
            </w:r>
          </w:p>
          <w:p>
            <w:pPr>
              <w:adjustRightInd w:val="0"/>
              <w:snapToGrid w:val="0"/>
              <w:spacing w:line="360" w:lineRule="auto"/>
              <w:ind w:firstLine="472" w:firstLineChars="196"/>
              <w:rPr>
                <w:lang w:val="zh-CN" w:eastAsia="zh-TW"/>
              </w:rPr>
            </w:pPr>
            <w:r>
              <w:rPr>
                <w:rFonts w:hint="eastAsia"/>
                <w:b/>
                <w:bCs/>
              </w:rPr>
              <w:t>五、</w:t>
            </w:r>
            <w:r>
              <w:rPr>
                <w:b/>
                <w:bCs/>
              </w:rPr>
              <w:t>地下水</w:t>
            </w:r>
            <w:r>
              <w:rPr>
                <w:rFonts w:hint="eastAsia"/>
                <w:b/>
                <w:bCs/>
              </w:rPr>
              <w:t>、土壤</w:t>
            </w:r>
            <w:r>
              <w:rPr>
                <w:b/>
                <w:bCs/>
              </w:rPr>
              <w:t>环境影响分析</w:t>
            </w:r>
          </w:p>
          <w:p>
            <w:pPr>
              <w:adjustRightInd w:val="0"/>
              <w:snapToGrid w:val="0"/>
              <w:spacing w:line="360" w:lineRule="auto"/>
              <w:ind w:firstLine="480" w:firstLineChars="200"/>
              <w:rPr>
                <w:b/>
                <w:bCs/>
                <w:snapToGrid w:val="0"/>
                <w:kern w:val="0"/>
              </w:rPr>
            </w:pPr>
            <w:r>
              <w:rPr>
                <w:snapToGrid w:val="0"/>
                <w:kern w:val="0"/>
              </w:rPr>
              <w:t>拟建项目为</w:t>
            </w:r>
            <w:r>
              <w:rPr>
                <w:rFonts w:hint="eastAsia"/>
                <w:snapToGrid w:val="0"/>
                <w:kern w:val="0"/>
              </w:rPr>
              <w:t>刨花板技术改造项目</w:t>
            </w:r>
            <w:r>
              <w:rPr>
                <w:snapToGrid w:val="0"/>
                <w:kern w:val="0"/>
              </w:rPr>
              <w:t>，</w:t>
            </w:r>
            <w:r>
              <w:rPr>
                <w:rFonts w:hint="eastAsia"/>
                <w:snapToGrid w:val="0"/>
                <w:kern w:val="0"/>
              </w:rPr>
              <w:t>项目为废水产生</w:t>
            </w:r>
            <w:r>
              <w:rPr>
                <w:snapToGrid w:val="0"/>
                <w:kern w:val="0"/>
              </w:rPr>
              <w:t>，对地下水、土壤环境影响较小。</w:t>
            </w:r>
          </w:p>
          <w:p>
            <w:pPr>
              <w:adjustRightInd w:val="0"/>
              <w:snapToGrid w:val="0"/>
              <w:spacing w:line="360" w:lineRule="auto"/>
              <w:ind w:firstLine="482" w:firstLineChars="200"/>
              <w:rPr>
                <w:b/>
                <w:bCs/>
                <w:snapToGrid w:val="0"/>
                <w:kern w:val="0"/>
              </w:rPr>
            </w:pPr>
            <w:r>
              <w:rPr>
                <w:b/>
                <w:bCs/>
                <w:snapToGrid w:val="0"/>
                <w:kern w:val="0"/>
              </w:rPr>
              <w:t>（1）项目对浅层地下水、土壤环境影响的方式</w:t>
            </w:r>
          </w:p>
          <w:p>
            <w:pPr>
              <w:adjustRightInd w:val="0"/>
              <w:snapToGrid w:val="0"/>
              <w:spacing w:line="360" w:lineRule="auto"/>
              <w:ind w:firstLine="480" w:firstLineChars="200"/>
              <w:rPr>
                <w:snapToGrid w:val="0"/>
                <w:kern w:val="0"/>
              </w:rPr>
            </w:pPr>
            <w:r>
              <w:rPr>
                <w:snapToGrid w:val="0"/>
                <w:kern w:val="0"/>
              </w:rPr>
              <w:t>项目对浅层地下水的影响主要是</w:t>
            </w:r>
            <w:r>
              <w:rPr>
                <w:rFonts w:hint="eastAsia"/>
                <w:snapToGrid w:val="0"/>
                <w:kern w:val="0"/>
              </w:rPr>
              <w:t>现有项目</w:t>
            </w:r>
            <w:r>
              <w:rPr>
                <w:snapToGrid w:val="0"/>
                <w:kern w:val="0"/>
              </w:rPr>
              <w:t>锅炉、污水处理管线破裂可能污染浅层地下水。</w:t>
            </w:r>
          </w:p>
          <w:p>
            <w:pPr>
              <w:adjustRightInd w:val="0"/>
              <w:snapToGrid w:val="0"/>
              <w:spacing w:line="360" w:lineRule="auto"/>
              <w:ind w:firstLine="482" w:firstLineChars="200"/>
              <w:rPr>
                <w:b/>
                <w:bCs/>
                <w:snapToGrid w:val="0"/>
                <w:kern w:val="0"/>
              </w:rPr>
            </w:pPr>
            <w:r>
              <w:rPr>
                <w:b/>
                <w:bCs/>
                <w:snapToGrid w:val="0"/>
                <w:kern w:val="0"/>
              </w:rPr>
              <w:t>（2）地下水、土壤污染防治措施</w:t>
            </w:r>
          </w:p>
          <w:p>
            <w:pPr>
              <w:adjustRightInd w:val="0"/>
              <w:snapToGrid w:val="0"/>
              <w:spacing w:line="360" w:lineRule="auto"/>
              <w:ind w:firstLine="480" w:firstLineChars="200"/>
              <w:rPr>
                <w:snapToGrid w:val="0"/>
                <w:kern w:val="0"/>
              </w:rPr>
            </w:pPr>
            <w:r>
              <w:rPr>
                <w:snapToGrid w:val="0"/>
                <w:kern w:val="0"/>
              </w:rPr>
              <w:t>地下水保护与污染防治按照“源头控制、分区防治、污染监控、应急响应”的原则。工程生产运行过程中要建立健全地下水保护与污染防治的措施与方法；必须采取必要的监测制度，一旦发现地下水遭受污染，就应及时采取措施，防微杜渐；尽量减少污染物进入地下含水层的机会和数量。</w:t>
            </w:r>
          </w:p>
          <w:p>
            <w:pPr>
              <w:adjustRightInd w:val="0"/>
              <w:snapToGrid w:val="0"/>
              <w:spacing w:line="360" w:lineRule="auto"/>
              <w:ind w:firstLine="480" w:firstLineChars="200"/>
              <w:rPr>
                <w:snapToGrid w:val="0"/>
                <w:kern w:val="0"/>
              </w:rPr>
            </w:pPr>
            <w:r>
              <w:rPr>
                <w:snapToGrid w:val="0"/>
                <w:kern w:val="0"/>
              </w:rPr>
              <w:t>源头控制措施主要包括对污水管道采取相应措施，防止跑、冒、滴、漏，将污染物泄漏的环境风险事故降到最低程度，做到污染物“早发现、早处理”，减少由于埋地管道泄漏而造成的地下水污染。</w:t>
            </w:r>
          </w:p>
          <w:p>
            <w:pPr>
              <w:adjustRightInd w:val="0"/>
              <w:snapToGrid w:val="0"/>
              <w:spacing w:line="360" w:lineRule="auto"/>
              <w:ind w:firstLine="480" w:firstLineChars="200"/>
              <w:rPr>
                <w:snapToGrid w:val="0"/>
                <w:kern w:val="0"/>
              </w:rPr>
            </w:pPr>
            <w:r>
              <w:rPr>
                <w:snapToGrid w:val="0"/>
                <w:kern w:val="0"/>
              </w:rPr>
              <w:t>采取分区防渗措施，参照《环境影响评价技术导则 地下水环境》(HJ610-2016)要求，拟建项目防渗分区的划分情况和具体要求见表4-20。</w:t>
            </w:r>
          </w:p>
          <w:p>
            <w:pPr>
              <w:pStyle w:val="100"/>
              <w:rPr>
                <w:snapToGrid w:val="0"/>
              </w:rPr>
            </w:pPr>
            <w:r>
              <w:rPr>
                <w:snapToGrid w:val="0"/>
              </w:rPr>
              <w:t>表4-20 项目污染防渗分区及要求</w:t>
            </w:r>
          </w:p>
          <w:tbl>
            <w:tblPr>
              <w:tblStyle w:val="51"/>
              <w:tblW w:w="815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2727"/>
              <w:gridCol w:w="344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984" w:type="dxa"/>
                  <w:vAlign w:val="center"/>
                </w:tcPr>
                <w:p>
                  <w:pPr>
                    <w:pStyle w:val="178"/>
                    <w:rPr>
                      <w:snapToGrid w:val="0"/>
                      <w:color w:val="auto"/>
                    </w:rPr>
                  </w:pPr>
                  <w:r>
                    <w:rPr>
                      <w:snapToGrid w:val="0"/>
                      <w:color w:val="auto"/>
                    </w:rPr>
                    <w:t>防渗分区</w:t>
                  </w:r>
                </w:p>
              </w:tc>
              <w:tc>
                <w:tcPr>
                  <w:tcW w:w="2727" w:type="dxa"/>
                  <w:vAlign w:val="center"/>
                </w:tcPr>
                <w:p>
                  <w:pPr>
                    <w:pStyle w:val="178"/>
                    <w:rPr>
                      <w:snapToGrid w:val="0"/>
                      <w:color w:val="auto"/>
                    </w:rPr>
                  </w:pPr>
                  <w:r>
                    <w:rPr>
                      <w:snapToGrid w:val="0"/>
                      <w:color w:val="auto"/>
                    </w:rPr>
                    <w:t>装置设施</w:t>
                  </w:r>
                </w:p>
              </w:tc>
              <w:tc>
                <w:tcPr>
                  <w:tcW w:w="3446" w:type="dxa"/>
                  <w:vAlign w:val="center"/>
                </w:tcPr>
                <w:p>
                  <w:pPr>
                    <w:pStyle w:val="178"/>
                    <w:rPr>
                      <w:snapToGrid w:val="0"/>
                      <w:color w:val="auto"/>
                    </w:rPr>
                  </w:pPr>
                  <w:r>
                    <w:rPr>
                      <w:snapToGrid w:val="0"/>
                      <w:color w:val="auto"/>
                    </w:rPr>
                    <w:t>防渗技术要求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984" w:type="dxa"/>
                  <w:vAlign w:val="center"/>
                </w:tcPr>
                <w:p>
                  <w:pPr>
                    <w:pStyle w:val="178"/>
                    <w:rPr>
                      <w:bCs/>
                      <w:snapToGrid w:val="0"/>
                      <w:color w:val="auto"/>
                    </w:rPr>
                  </w:pPr>
                  <w:r>
                    <w:rPr>
                      <w:rFonts w:hint="eastAsia"/>
                      <w:bCs/>
                      <w:snapToGrid w:val="0"/>
                      <w:color w:val="auto"/>
                    </w:rPr>
                    <w:t>重点防渗区</w:t>
                  </w:r>
                </w:p>
              </w:tc>
              <w:tc>
                <w:tcPr>
                  <w:tcW w:w="2727" w:type="dxa"/>
                  <w:vAlign w:val="center"/>
                </w:tcPr>
                <w:p>
                  <w:pPr>
                    <w:pStyle w:val="178"/>
                    <w:rPr>
                      <w:bCs/>
                      <w:snapToGrid w:val="0"/>
                      <w:color w:val="auto"/>
                    </w:rPr>
                  </w:pPr>
                  <w:r>
                    <w:rPr>
                      <w:rFonts w:hint="eastAsia"/>
                      <w:bCs/>
                      <w:snapToGrid w:val="0"/>
                      <w:color w:val="auto"/>
                    </w:rPr>
                    <w:t>危废暂存间</w:t>
                  </w:r>
                </w:p>
              </w:tc>
              <w:tc>
                <w:tcPr>
                  <w:tcW w:w="3446" w:type="dxa"/>
                  <w:vAlign w:val="center"/>
                </w:tcPr>
                <w:p>
                  <w:pPr>
                    <w:pStyle w:val="178"/>
                    <w:rPr>
                      <w:bCs/>
                      <w:snapToGrid w:val="0"/>
                      <w:color w:val="auto"/>
                    </w:rPr>
                  </w:pPr>
                  <w:r>
                    <w:rPr>
                      <w:rFonts w:hint="eastAsia"/>
                      <w:bCs/>
                      <w:snapToGrid w:val="0"/>
                      <w:color w:val="auto"/>
                    </w:rPr>
                    <w:t>应不低于 6.0m 渗透系数为 1.0×10 -7 cm/s 的粘厚土层；</w:t>
                  </w:r>
                </w:p>
                <w:p>
                  <w:pPr>
                    <w:pStyle w:val="178"/>
                    <w:rPr>
                      <w:bCs/>
                      <w:snapToGrid w:val="0"/>
                      <w:color w:val="auto"/>
                    </w:rPr>
                  </w:pPr>
                  <w:r>
                    <w:rPr>
                      <w:rFonts w:hint="eastAsia"/>
                      <w:bCs/>
                      <w:snapToGrid w:val="0"/>
                      <w:color w:val="auto"/>
                    </w:rPr>
                    <w:t>该防渗性能要求与《危险废物填埋场污染控制标准》</w:t>
                  </w:r>
                </w:p>
                <w:p>
                  <w:pPr>
                    <w:pStyle w:val="178"/>
                    <w:rPr>
                      <w:bCs/>
                      <w:snapToGrid w:val="0"/>
                      <w:color w:val="auto"/>
                    </w:rPr>
                  </w:pPr>
                  <w:r>
                    <w:rPr>
                      <w:rFonts w:hint="eastAsia"/>
                      <w:bCs/>
                      <w:snapToGrid w:val="0"/>
                      <w:color w:val="auto"/>
                    </w:rPr>
                    <w:t>（GB18598-2001）第 6.5.1 条等效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984" w:type="dxa"/>
                  <w:vAlign w:val="center"/>
                </w:tcPr>
                <w:p>
                  <w:pPr>
                    <w:pStyle w:val="178"/>
                    <w:rPr>
                      <w:bCs/>
                      <w:snapToGrid w:val="0"/>
                      <w:color w:val="auto"/>
                    </w:rPr>
                  </w:pPr>
                  <w:r>
                    <w:rPr>
                      <w:bCs/>
                      <w:snapToGrid w:val="0"/>
                      <w:color w:val="auto"/>
                    </w:rPr>
                    <w:t>一般防渗区</w:t>
                  </w:r>
                </w:p>
              </w:tc>
              <w:tc>
                <w:tcPr>
                  <w:tcW w:w="2727" w:type="dxa"/>
                  <w:vAlign w:val="center"/>
                </w:tcPr>
                <w:p>
                  <w:pPr>
                    <w:pStyle w:val="178"/>
                    <w:rPr>
                      <w:bCs/>
                      <w:snapToGrid w:val="0"/>
                      <w:color w:val="auto"/>
                    </w:rPr>
                  </w:pPr>
                  <w:r>
                    <w:rPr>
                      <w:rFonts w:hint="eastAsia"/>
                      <w:bCs/>
                      <w:snapToGrid w:val="0"/>
                      <w:color w:val="auto"/>
                    </w:rPr>
                    <w:t>一般固废区、</w:t>
                  </w:r>
                  <w:r>
                    <w:rPr>
                      <w:bCs/>
                      <w:snapToGrid w:val="0"/>
                      <w:color w:val="auto"/>
                    </w:rPr>
                    <w:t>锅炉区、污水管道</w:t>
                  </w:r>
                  <w:r>
                    <w:rPr>
                      <w:rFonts w:hint="eastAsia"/>
                      <w:bCs/>
                      <w:snapToGrid w:val="0"/>
                      <w:color w:val="auto"/>
                    </w:rPr>
                    <w:t>、生产车间</w:t>
                  </w:r>
                </w:p>
              </w:tc>
              <w:tc>
                <w:tcPr>
                  <w:tcW w:w="3446" w:type="dxa"/>
                  <w:vAlign w:val="center"/>
                </w:tcPr>
                <w:p>
                  <w:pPr>
                    <w:pStyle w:val="178"/>
                    <w:rPr>
                      <w:bCs/>
                      <w:snapToGrid w:val="0"/>
                      <w:color w:val="auto"/>
                    </w:rPr>
                  </w:pPr>
                  <w:r>
                    <w:rPr>
                      <w:bCs/>
                      <w:snapToGrid w:val="0"/>
                      <w:color w:val="auto"/>
                    </w:rPr>
                    <w:t>等效黏土防渗层Mb≥1.5m，K≤1*10</w:t>
                  </w:r>
                  <w:r>
                    <w:rPr>
                      <w:bCs/>
                      <w:snapToGrid w:val="0"/>
                      <w:color w:val="auto"/>
                      <w:vertAlign w:val="superscript"/>
                    </w:rPr>
                    <w:t>-7</w:t>
                  </w:r>
                  <w:r>
                    <w:rPr>
                      <w:bCs/>
                      <w:snapToGrid w:val="0"/>
                      <w:color w:val="auto"/>
                    </w:rPr>
                    <w:t>cm/s；或参照GB16889执行</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984" w:type="dxa"/>
                  <w:vAlign w:val="center"/>
                </w:tcPr>
                <w:p>
                  <w:pPr>
                    <w:pStyle w:val="178"/>
                    <w:rPr>
                      <w:bCs/>
                      <w:snapToGrid w:val="0"/>
                      <w:color w:val="auto"/>
                    </w:rPr>
                  </w:pPr>
                  <w:r>
                    <w:rPr>
                      <w:bCs/>
                      <w:snapToGrid w:val="0"/>
                      <w:color w:val="auto"/>
                    </w:rPr>
                    <w:t>简单防渗区</w:t>
                  </w:r>
                </w:p>
              </w:tc>
              <w:tc>
                <w:tcPr>
                  <w:tcW w:w="2727" w:type="dxa"/>
                  <w:vAlign w:val="center"/>
                </w:tcPr>
                <w:p>
                  <w:pPr>
                    <w:pStyle w:val="178"/>
                    <w:rPr>
                      <w:bCs/>
                      <w:snapToGrid w:val="0"/>
                      <w:color w:val="auto"/>
                    </w:rPr>
                  </w:pPr>
                  <w:r>
                    <w:rPr>
                      <w:bCs/>
                      <w:snapToGrid w:val="0"/>
                      <w:color w:val="auto"/>
                    </w:rPr>
                    <w:t>厂区路面、办公室</w:t>
                  </w:r>
                </w:p>
              </w:tc>
              <w:tc>
                <w:tcPr>
                  <w:tcW w:w="3446" w:type="dxa"/>
                  <w:vAlign w:val="center"/>
                </w:tcPr>
                <w:p>
                  <w:pPr>
                    <w:pStyle w:val="178"/>
                    <w:rPr>
                      <w:bCs/>
                      <w:snapToGrid w:val="0"/>
                      <w:color w:val="auto"/>
                    </w:rPr>
                  </w:pPr>
                  <w:r>
                    <w:rPr>
                      <w:bCs/>
                      <w:snapToGrid w:val="0"/>
                      <w:color w:val="auto"/>
                    </w:rPr>
                    <w:t>一般地面硬化</w:t>
                  </w:r>
                </w:p>
              </w:tc>
            </w:tr>
          </w:tbl>
          <w:p>
            <w:pPr>
              <w:adjustRightInd w:val="0"/>
              <w:snapToGrid w:val="0"/>
              <w:spacing w:before="120" w:beforeLines="50" w:line="360" w:lineRule="auto"/>
              <w:ind w:firstLine="480" w:firstLineChars="200"/>
              <w:rPr>
                <w:bCs/>
                <w:snapToGrid w:val="0"/>
                <w:kern w:val="0"/>
              </w:rPr>
            </w:pPr>
            <w:r>
              <w:rPr>
                <w:bCs/>
                <w:snapToGrid w:val="0"/>
                <w:kern w:val="0"/>
              </w:rPr>
              <w:t>拟建项目废水对地下水和土壤造成影响的环节主要是废水的产生、输送、存储等环节；固废的产生、暂存环节</w:t>
            </w:r>
            <w:r>
              <w:rPr>
                <w:rFonts w:hint="eastAsia"/>
                <w:bCs/>
                <w:snapToGrid w:val="0"/>
                <w:kern w:val="0"/>
              </w:rPr>
              <w:t>，</w:t>
            </w:r>
            <w:r>
              <w:rPr>
                <w:bCs/>
                <w:snapToGrid w:val="0"/>
                <w:kern w:val="0"/>
              </w:rPr>
              <w:t>地面均采取防渗措施，并制定应急措施，通过采取上述措施后，拟建项目营运后对地下水和土壤的影响较小。</w:t>
            </w:r>
          </w:p>
          <w:p>
            <w:pPr>
              <w:spacing w:line="360" w:lineRule="auto"/>
              <w:ind w:firstLine="435"/>
              <w:rPr>
                <w:b/>
                <w:lang w:val="en-GB"/>
              </w:rPr>
            </w:pPr>
            <w:r>
              <w:rPr>
                <w:rFonts w:hint="eastAsia"/>
                <w:b/>
                <w:lang w:val="en-GB"/>
              </w:rPr>
              <w:t>七</w:t>
            </w:r>
            <w:r>
              <w:rPr>
                <w:b/>
                <w:lang w:val="en-GB"/>
              </w:rPr>
              <w:t>、环境风险分析</w:t>
            </w:r>
          </w:p>
          <w:p>
            <w:pPr>
              <w:adjustRightInd w:val="0"/>
              <w:snapToGrid w:val="0"/>
              <w:spacing w:line="360" w:lineRule="auto"/>
              <w:ind w:firstLine="480" w:firstLineChars="200"/>
              <w:rPr>
                <w:kern w:val="0"/>
                <w:szCs w:val="20"/>
              </w:rPr>
            </w:pPr>
            <w:r>
              <w:rPr>
                <w:kern w:val="0"/>
                <w:szCs w:val="20"/>
              </w:rPr>
              <w:t>根据《建设项目环境风险评价技术导则》（HJ169-2018）技术要求，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项目为</w:t>
            </w:r>
            <w:r>
              <w:rPr>
                <w:rFonts w:hint="eastAsia"/>
                <w:kern w:val="0"/>
                <w:szCs w:val="20"/>
              </w:rPr>
              <w:t>刨花板</w:t>
            </w:r>
            <w:r>
              <w:rPr>
                <w:kern w:val="0"/>
                <w:szCs w:val="20"/>
              </w:rPr>
              <w:t>生产项目，项目运营过程中涉及的主要环境风险物质为</w:t>
            </w:r>
            <w:r>
              <w:rPr>
                <w:rFonts w:hint="eastAsia"/>
                <w:kern w:val="0"/>
                <w:szCs w:val="20"/>
              </w:rPr>
              <w:t>游离甲醛</w:t>
            </w:r>
            <w:r>
              <w:rPr>
                <w:kern w:val="0"/>
                <w:szCs w:val="20"/>
              </w:rPr>
              <w:t>。</w:t>
            </w:r>
          </w:p>
          <w:p>
            <w:pPr>
              <w:adjustRightInd w:val="0"/>
              <w:snapToGrid w:val="0"/>
              <w:spacing w:line="360" w:lineRule="auto"/>
              <w:ind w:firstLine="482" w:firstLineChars="200"/>
              <w:rPr>
                <w:b/>
                <w:bCs/>
                <w:kern w:val="0"/>
                <w:szCs w:val="20"/>
              </w:rPr>
            </w:pPr>
            <w:r>
              <w:rPr>
                <w:b/>
                <w:bCs/>
                <w:kern w:val="0"/>
                <w:szCs w:val="20"/>
              </w:rPr>
              <w:t>1、危险物质数量与临界量比值（Q）的确定</w:t>
            </w:r>
          </w:p>
          <w:p>
            <w:pPr>
              <w:adjustRightInd w:val="0"/>
              <w:snapToGrid w:val="0"/>
              <w:spacing w:line="360" w:lineRule="auto"/>
              <w:ind w:firstLine="480" w:firstLineChars="200"/>
              <w:rPr>
                <w:kern w:val="0"/>
                <w:szCs w:val="20"/>
              </w:rPr>
            </w:pPr>
            <w:r>
              <w:rPr>
                <w:rFonts w:hint="eastAsia" w:ascii="宋体" w:hAnsi="宋体" w:cs="宋体"/>
                <w:kern w:val="0"/>
                <w:szCs w:val="20"/>
              </w:rPr>
              <w:t>①</w:t>
            </w:r>
            <w:r>
              <w:rPr>
                <w:kern w:val="0"/>
                <w:szCs w:val="20"/>
              </w:rPr>
              <w:t>当企业只涉及一种风险物质时，该物质的数量与其临界量比值，即为Q。</w:t>
            </w:r>
          </w:p>
          <w:p>
            <w:pPr>
              <w:adjustRightInd w:val="0"/>
              <w:snapToGrid w:val="0"/>
              <w:spacing w:line="360" w:lineRule="auto"/>
              <w:ind w:firstLine="480" w:firstLineChars="200"/>
              <w:rPr>
                <w:kern w:val="0"/>
                <w:szCs w:val="20"/>
              </w:rPr>
            </w:pPr>
            <w:r>
              <w:rPr>
                <w:rFonts w:hint="eastAsia" w:ascii="宋体" w:hAnsi="宋体" w:cs="宋体"/>
                <w:kern w:val="0"/>
                <w:szCs w:val="20"/>
              </w:rPr>
              <w:t>②</w:t>
            </w:r>
            <w:r>
              <w:rPr>
                <w:kern w:val="0"/>
                <w:szCs w:val="20"/>
              </w:rPr>
              <w:t>当企业存在多种风险物质时，则按下式计算：</w:t>
            </w:r>
          </w:p>
          <w:p>
            <w:pPr>
              <w:adjustRightInd w:val="0"/>
              <w:snapToGrid w:val="0"/>
              <w:spacing w:line="360" w:lineRule="auto"/>
              <w:jc w:val="center"/>
              <w:rPr>
                <w:kern w:val="0"/>
                <w:szCs w:val="20"/>
              </w:rPr>
            </w:pPr>
            <m:oMath>
              <m:r>
                <m:rPr>
                  <m:sty m:val="p"/>
                </m:rPr>
                <w:rPr>
                  <w:rFonts w:ascii="Cambria Math" w:hAnsi="Cambria Math"/>
                  <w:sz w:val="30"/>
                  <w:szCs w:val="30"/>
                </w:rPr>
                <m:t>Q=</m:t>
              </m:r>
              <m:f>
                <m:fPr>
                  <m:ctrlPr>
                    <w:rPr>
                      <w:rFonts w:ascii="Cambria Math" w:hAnsi="Cambria Math"/>
                      <w:sz w:val="30"/>
                      <w:szCs w:val="30"/>
                    </w:rPr>
                  </m:ctrlPr>
                </m:fPr>
                <m:num>
                  <m:sSub>
                    <m:sSubPr>
                      <m:ctrlPr>
                        <w:rPr>
                          <w:rFonts w:ascii="Cambria Math" w:hAnsi="Cambria Math"/>
                          <w:i/>
                          <w:sz w:val="30"/>
                          <w:szCs w:val="30"/>
                        </w:rPr>
                      </m:ctrlPr>
                    </m:sSubPr>
                    <m:e>
                      <m:r>
                        <m:rPr/>
                        <w:rPr>
                          <w:rFonts w:ascii="Cambria Math" w:hAnsi="Cambria Math"/>
                          <w:sz w:val="30"/>
                          <w:szCs w:val="30"/>
                        </w:rPr>
                        <m:t>q</m:t>
                      </m:r>
                      <m:ctrlPr>
                        <w:rPr>
                          <w:rFonts w:ascii="Cambria Math" w:hAnsi="Cambria Math"/>
                          <w:i/>
                          <w:sz w:val="30"/>
                          <w:szCs w:val="30"/>
                        </w:rPr>
                      </m:ctrlPr>
                    </m:e>
                    <m:sub>
                      <m:r>
                        <m:rPr/>
                        <w:rPr>
                          <w:rFonts w:ascii="Cambria Math" w:hAnsi="Cambria Math"/>
                          <w:sz w:val="30"/>
                          <w:szCs w:val="30"/>
                        </w:rPr>
                        <m:t>1</m:t>
                      </m:r>
                      <m:ctrlPr>
                        <w:rPr>
                          <w:rFonts w:ascii="Cambria Math" w:hAnsi="Cambria Math"/>
                          <w:i/>
                          <w:sz w:val="30"/>
                          <w:szCs w:val="30"/>
                        </w:rPr>
                      </m:ctrlPr>
                    </m:sub>
                  </m:sSub>
                  <m:ctrlPr>
                    <w:rPr>
                      <w:rFonts w:ascii="Cambria Math" w:hAnsi="Cambria Math"/>
                      <w:sz w:val="30"/>
                      <w:szCs w:val="30"/>
                    </w:rPr>
                  </m:ctrlPr>
                </m:num>
                <m:den>
                  <m:sSub>
                    <m:sSubPr>
                      <m:ctrlPr>
                        <w:rPr>
                          <w:rFonts w:ascii="Cambria Math" w:hAnsi="Cambria Math"/>
                          <w:i/>
                          <w:sz w:val="30"/>
                          <w:szCs w:val="30"/>
                        </w:rPr>
                      </m:ctrlPr>
                    </m:sSubPr>
                    <m:e>
                      <m:r>
                        <m:rPr/>
                        <w:rPr>
                          <w:rFonts w:ascii="Cambria Math" w:hAnsi="Cambria Math"/>
                          <w:sz w:val="30"/>
                          <w:szCs w:val="30"/>
                        </w:rPr>
                        <m:t>Q</m:t>
                      </m:r>
                      <m:ctrlPr>
                        <w:rPr>
                          <w:rFonts w:ascii="Cambria Math" w:hAnsi="Cambria Math"/>
                          <w:i/>
                          <w:sz w:val="30"/>
                          <w:szCs w:val="30"/>
                        </w:rPr>
                      </m:ctrlPr>
                    </m:e>
                    <m:sub>
                      <m:r>
                        <m:rPr/>
                        <w:rPr>
                          <w:rFonts w:ascii="Cambria Math" w:hAnsi="Cambria Math"/>
                          <w:sz w:val="30"/>
                          <w:szCs w:val="30"/>
                        </w:rPr>
                        <m:t>1</m:t>
                      </m:r>
                      <m:ctrlPr>
                        <w:rPr>
                          <w:rFonts w:ascii="Cambria Math" w:hAnsi="Cambria Math"/>
                          <w:i/>
                          <w:sz w:val="30"/>
                          <w:szCs w:val="30"/>
                        </w:rPr>
                      </m:ctrlPr>
                    </m:sub>
                  </m:sSub>
                  <m:ctrlPr>
                    <w:rPr>
                      <w:rFonts w:ascii="Cambria Math" w:hAnsi="Cambria Math"/>
                      <w:sz w:val="30"/>
                      <w:szCs w:val="30"/>
                    </w:rPr>
                  </m:ctrlPr>
                </m:den>
              </m:f>
              <m:r>
                <m:rP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m:rPr/>
                        <w:rPr>
                          <w:rFonts w:ascii="Cambria Math" w:hAnsi="Cambria Math"/>
                          <w:sz w:val="30"/>
                          <w:szCs w:val="30"/>
                        </w:rPr>
                        <m:t>q</m:t>
                      </m:r>
                      <m:ctrlPr>
                        <w:rPr>
                          <w:rFonts w:ascii="Cambria Math" w:hAnsi="Cambria Math"/>
                          <w:i/>
                          <w:sz w:val="30"/>
                          <w:szCs w:val="30"/>
                        </w:rPr>
                      </m:ctrlPr>
                    </m:e>
                    <m:sub>
                      <m:r>
                        <m:rPr/>
                        <w:rPr>
                          <w:rFonts w:ascii="Cambria Math" w:hAnsi="Cambria Math"/>
                          <w:sz w:val="30"/>
                          <w:szCs w:val="30"/>
                        </w:rPr>
                        <m:t>2</m:t>
                      </m:r>
                      <m:ctrlPr>
                        <w:rPr>
                          <w:rFonts w:ascii="Cambria Math" w:hAnsi="Cambria Math"/>
                          <w:i/>
                          <w:sz w:val="30"/>
                          <w:szCs w:val="30"/>
                        </w:rPr>
                      </m:ctrlPr>
                    </m:sub>
                  </m:sSub>
                  <m:ctrlPr>
                    <w:rPr>
                      <w:rFonts w:ascii="Cambria Math" w:hAnsi="Cambria Math"/>
                      <w:i/>
                      <w:sz w:val="30"/>
                      <w:szCs w:val="30"/>
                    </w:rPr>
                  </m:ctrlPr>
                </m:num>
                <m:den>
                  <m:sSub>
                    <m:sSubPr>
                      <m:ctrlPr>
                        <w:rPr>
                          <w:rFonts w:ascii="Cambria Math" w:hAnsi="Cambria Math"/>
                          <w:i/>
                          <w:sz w:val="30"/>
                          <w:szCs w:val="30"/>
                        </w:rPr>
                      </m:ctrlPr>
                    </m:sSubPr>
                    <m:e>
                      <m:r>
                        <m:rPr/>
                        <w:rPr>
                          <w:rFonts w:ascii="Cambria Math" w:hAnsi="Cambria Math"/>
                          <w:sz w:val="30"/>
                          <w:szCs w:val="30"/>
                        </w:rPr>
                        <m:t>Q</m:t>
                      </m:r>
                      <m:ctrlPr>
                        <w:rPr>
                          <w:rFonts w:ascii="Cambria Math" w:hAnsi="Cambria Math"/>
                          <w:i/>
                          <w:sz w:val="30"/>
                          <w:szCs w:val="30"/>
                        </w:rPr>
                      </m:ctrlPr>
                    </m:e>
                    <m:sub>
                      <m:r>
                        <m:rPr/>
                        <w:rPr>
                          <w:rFonts w:ascii="Cambria Math" w:hAnsi="Cambria Math"/>
                          <w:sz w:val="30"/>
                          <w:szCs w:val="30"/>
                        </w:rPr>
                        <m:t>2</m:t>
                      </m:r>
                      <m:ctrlPr>
                        <w:rPr>
                          <w:rFonts w:ascii="Cambria Math" w:hAnsi="Cambria Math"/>
                          <w:i/>
                          <w:sz w:val="30"/>
                          <w:szCs w:val="30"/>
                        </w:rPr>
                      </m:ctrlPr>
                    </m:sub>
                  </m:sSub>
                  <m:ctrlPr>
                    <w:rPr>
                      <w:rFonts w:ascii="Cambria Math" w:hAnsi="Cambria Math"/>
                      <w:i/>
                      <w:sz w:val="30"/>
                      <w:szCs w:val="30"/>
                    </w:rPr>
                  </m:ctrlPr>
                </m:den>
              </m:f>
              <m:r>
                <m:rPr/>
                <w:rPr>
                  <w:rFonts w:ascii="Cambria Math" w:hAnsi="Cambria Math"/>
                  <w:sz w:val="30"/>
                  <w:szCs w:val="30"/>
                </w:rPr>
                <m:t>+…+</m:t>
              </m:r>
              <m:f>
                <m:fPr>
                  <m:ctrlPr>
                    <w:rPr>
                      <w:rFonts w:ascii="Cambria Math" w:hAnsi="Cambria Math"/>
                      <w:i/>
                      <w:sz w:val="30"/>
                      <w:szCs w:val="30"/>
                    </w:rPr>
                  </m:ctrlPr>
                </m:fPr>
                <m:num>
                  <m:sSub>
                    <m:sSubPr>
                      <m:ctrlPr>
                        <w:rPr>
                          <w:rFonts w:ascii="Cambria Math" w:hAnsi="Cambria Math"/>
                          <w:i/>
                          <w:sz w:val="30"/>
                          <w:szCs w:val="30"/>
                        </w:rPr>
                      </m:ctrlPr>
                    </m:sSubPr>
                    <m:e>
                      <m:r>
                        <m:rPr/>
                        <w:rPr>
                          <w:rFonts w:ascii="Cambria Math" w:hAnsi="Cambria Math"/>
                          <w:sz w:val="30"/>
                          <w:szCs w:val="30"/>
                        </w:rPr>
                        <m:t>q</m:t>
                      </m:r>
                      <m:ctrlPr>
                        <w:rPr>
                          <w:rFonts w:ascii="Cambria Math" w:hAnsi="Cambria Math"/>
                          <w:i/>
                          <w:sz w:val="30"/>
                          <w:szCs w:val="30"/>
                        </w:rPr>
                      </m:ctrlPr>
                    </m:e>
                    <m:sub>
                      <m:r>
                        <m:rPr/>
                        <w:rPr>
                          <w:rFonts w:ascii="Cambria Math" w:hAnsi="Cambria Math"/>
                          <w:sz w:val="30"/>
                          <w:szCs w:val="30"/>
                        </w:rPr>
                        <m:t>n</m:t>
                      </m:r>
                      <m:ctrlPr>
                        <w:rPr>
                          <w:rFonts w:ascii="Cambria Math" w:hAnsi="Cambria Math"/>
                          <w:i/>
                          <w:sz w:val="30"/>
                          <w:szCs w:val="30"/>
                        </w:rPr>
                      </m:ctrlPr>
                    </m:sub>
                  </m:sSub>
                  <m:ctrlPr>
                    <w:rPr>
                      <w:rFonts w:ascii="Cambria Math" w:hAnsi="Cambria Math"/>
                      <w:i/>
                      <w:sz w:val="30"/>
                      <w:szCs w:val="30"/>
                    </w:rPr>
                  </m:ctrlPr>
                </m:num>
                <m:den>
                  <m:sSub>
                    <m:sSubPr>
                      <m:ctrlPr>
                        <w:rPr>
                          <w:rFonts w:ascii="Cambria Math" w:hAnsi="Cambria Math"/>
                          <w:i/>
                          <w:sz w:val="30"/>
                          <w:szCs w:val="30"/>
                        </w:rPr>
                      </m:ctrlPr>
                    </m:sSubPr>
                    <m:e>
                      <m:r>
                        <m:rPr/>
                        <w:rPr>
                          <w:rFonts w:ascii="Cambria Math" w:hAnsi="Cambria Math"/>
                          <w:sz w:val="30"/>
                          <w:szCs w:val="30"/>
                        </w:rPr>
                        <m:t>Q</m:t>
                      </m:r>
                      <m:ctrlPr>
                        <w:rPr>
                          <w:rFonts w:ascii="Cambria Math" w:hAnsi="Cambria Math"/>
                          <w:i/>
                          <w:sz w:val="30"/>
                          <w:szCs w:val="30"/>
                        </w:rPr>
                      </m:ctrlPr>
                    </m:e>
                    <m:sub>
                      <m:r>
                        <m:rPr/>
                        <w:rPr>
                          <w:rFonts w:ascii="Cambria Math" w:hAnsi="Cambria Math"/>
                          <w:sz w:val="30"/>
                          <w:szCs w:val="30"/>
                        </w:rPr>
                        <m:t>n</m:t>
                      </m:r>
                      <m:ctrlPr>
                        <w:rPr>
                          <w:rFonts w:ascii="Cambria Math" w:hAnsi="Cambria Math"/>
                          <w:i/>
                          <w:sz w:val="30"/>
                          <w:szCs w:val="30"/>
                        </w:rPr>
                      </m:ctrlPr>
                    </m:sub>
                  </m:sSub>
                  <m:ctrlPr>
                    <w:rPr>
                      <w:rFonts w:ascii="Cambria Math" w:hAnsi="Cambria Math"/>
                      <w:i/>
                      <w:sz w:val="30"/>
                      <w:szCs w:val="30"/>
                    </w:rPr>
                  </m:ctrlPr>
                </m:den>
              </m:f>
            </m:oMath>
            <w:r>
              <w:rPr>
                <w:kern w:val="0"/>
                <w:szCs w:val="20"/>
              </w:rPr>
              <w:fldChar w:fldCharType="begin"/>
            </w:r>
            <w:r>
              <w:rPr>
                <w:kern w:val="0"/>
                <w:szCs w:val="20"/>
              </w:rPr>
              <w:instrText xml:space="preserve"> QUOTE </w:instrText>
            </w:r>
            <w:r>
              <w:rPr>
                <w:sz w:val="30"/>
                <w:szCs w:val="30"/>
              </w:rPr>
              <w:instrText xml:space="preserve">Q=w1W1+w2W2+…+wnWn</w:instrText>
            </w:r>
            <w:r>
              <w:rPr>
                <w:kern w:val="0"/>
                <w:szCs w:val="20"/>
              </w:rPr>
              <w:instrText xml:space="preserve"> </w:instrText>
            </w:r>
            <w:r>
              <w:rPr>
                <w:kern w:val="0"/>
                <w:szCs w:val="20"/>
              </w:rPr>
              <w:fldChar w:fldCharType="end"/>
            </w:r>
          </w:p>
          <w:p>
            <w:pPr>
              <w:adjustRightInd w:val="0"/>
              <w:snapToGrid w:val="0"/>
              <w:spacing w:line="360" w:lineRule="auto"/>
              <w:ind w:firstLine="480" w:firstLineChars="200"/>
              <w:jc w:val="left"/>
              <w:rPr>
                <w:kern w:val="0"/>
                <w:szCs w:val="20"/>
              </w:rPr>
            </w:pPr>
            <w:r>
              <w:rPr>
                <w:kern w:val="0"/>
                <w:szCs w:val="20"/>
              </w:rPr>
              <w:t>根据《建设项目环境风险评价技术导则》（HJ169-2018）附录 B，项目涉及的危险物质主要为</w:t>
            </w:r>
            <w:r>
              <w:rPr>
                <w:rFonts w:hint="eastAsia"/>
                <w:kern w:val="0"/>
                <w:szCs w:val="20"/>
              </w:rPr>
              <w:t>游离甲醛</w:t>
            </w:r>
            <w:r>
              <w:rPr>
                <w:kern w:val="0"/>
                <w:szCs w:val="20"/>
              </w:rPr>
              <w:t>，项目 Q 值的确定见下表。</w:t>
            </w:r>
          </w:p>
          <w:p>
            <w:pPr>
              <w:spacing w:line="360" w:lineRule="auto"/>
              <w:ind w:firstLine="480" w:firstLineChars="200"/>
              <w:rPr>
                <w:szCs w:val="22"/>
              </w:rPr>
            </w:pPr>
            <w:r>
              <w:rPr>
                <w:szCs w:val="22"/>
              </w:rPr>
              <w:t>根据《</w:t>
            </w:r>
            <w:r>
              <w:rPr>
                <w:rFonts w:hint="eastAsia"/>
                <w:szCs w:val="22"/>
              </w:rPr>
              <w:t>企业</w:t>
            </w:r>
            <w:r>
              <w:rPr>
                <w:szCs w:val="22"/>
              </w:rPr>
              <w:t>突发环境事件风险分级方法》（HJ941-2018）附录A突发环境事件风险物质及临界量清单对本企业原辅料、中间产品、产品、废物进行辨别，确定本企业环境风险物质储存情况。</w:t>
            </w:r>
          </w:p>
          <w:p>
            <w:pPr>
              <w:pStyle w:val="100"/>
            </w:pPr>
            <w:r>
              <w:t>表</w:t>
            </w:r>
            <w:r>
              <w:rPr>
                <w:rFonts w:hint="eastAsia"/>
              </w:rPr>
              <w:t>4-</w:t>
            </w:r>
            <w:r>
              <w:t xml:space="preserve">21  </w:t>
            </w:r>
            <w:r>
              <w:rPr>
                <w:rFonts w:hint="eastAsia"/>
              </w:rPr>
              <w:t>环境风险物质判定</w:t>
            </w:r>
          </w:p>
          <w:tbl>
            <w:tblPr>
              <w:tblStyle w:val="52"/>
              <w:tblW w:w="814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2524"/>
              <w:gridCol w:w="2349"/>
              <w:gridCol w:w="214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128" w:type="dxa"/>
                  <w:vAlign w:val="center"/>
                </w:tcPr>
                <w:p>
                  <w:pPr>
                    <w:pStyle w:val="178"/>
                    <w:widowControl w:val="0"/>
                    <w:rPr>
                      <w:b/>
                      <w:color w:val="auto"/>
                      <w:szCs w:val="21"/>
                    </w:rPr>
                  </w:pPr>
                  <w:r>
                    <w:rPr>
                      <w:b/>
                      <w:color w:val="auto"/>
                      <w:szCs w:val="21"/>
                    </w:rPr>
                    <w:t>序号</w:t>
                  </w:r>
                </w:p>
              </w:tc>
              <w:tc>
                <w:tcPr>
                  <w:tcW w:w="2524" w:type="dxa"/>
                  <w:vAlign w:val="center"/>
                </w:tcPr>
                <w:p>
                  <w:pPr>
                    <w:pStyle w:val="178"/>
                    <w:widowControl w:val="0"/>
                    <w:rPr>
                      <w:b/>
                      <w:color w:val="auto"/>
                      <w:szCs w:val="21"/>
                    </w:rPr>
                  </w:pPr>
                  <w:r>
                    <w:rPr>
                      <w:b/>
                      <w:color w:val="auto"/>
                      <w:szCs w:val="21"/>
                    </w:rPr>
                    <w:t>原料名称</w:t>
                  </w:r>
                </w:p>
              </w:tc>
              <w:tc>
                <w:tcPr>
                  <w:tcW w:w="2349" w:type="dxa"/>
                  <w:vAlign w:val="center"/>
                </w:tcPr>
                <w:p>
                  <w:pPr>
                    <w:pStyle w:val="178"/>
                    <w:widowControl w:val="0"/>
                    <w:ind w:left="-29"/>
                    <w:rPr>
                      <w:b/>
                      <w:color w:val="auto"/>
                      <w:szCs w:val="21"/>
                    </w:rPr>
                  </w:pPr>
                  <w:r>
                    <w:rPr>
                      <w:rFonts w:hint="eastAsia"/>
                      <w:b/>
                      <w:color w:val="auto"/>
                      <w:szCs w:val="21"/>
                    </w:rPr>
                    <w:t>是否属于环境风险物质</w:t>
                  </w:r>
                </w:p>
              </w:tc>
              <w:tc>
                <w:tcPr>
                  <w:tcW w:w="2143" w:type="dxa"/>
                  <w:noWrap/>
                  <w:vAlign w:val="center"/>
                </w:tcPr>
                <w:p>
                  <w:pPr>
                    <w:pStyle w:val="178"/>
                    <w:widowControl w:val="0"/>
                    <w:rPr>
                      <w:b/>
                      <w:color w:val="auto"/>
                      <w:szCs w:val="21"/>
                    </w:rPr>
                  </w:pPr>
                  <w:r>
                    <w:rPr>
                      <w:rFonts w:hint="eastAsia"/>
                      <w:b/>
                      <w:color w:val="auto"/>
                      <w:szCs w:val="21"/>
                    </w:rPr>
                    <w:t>判定标准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1128" w:type="dxa"/>
                  <w:noWrap/>
                  <w:vAlign w:val="center"/>
                </w:tcPr>
                <w:p>
                  <w:pPr>
                    <w:pStyle w:val="178"/>
                    <w:widowControl w:val="0"/>
                    <w:rPr>
                      <w:color w:val="auto"/>
                      <w:szCs w:val="21"/>
                    </w:rPr>
                  </w:pPr>
                  <w:r>
                    <w:rPr>
                      <w:color w:val="auto"/>
                      <w:szCs w:val="21"/>
                    </w:rPr>
                    <w:t>1</w:t>
                  </w:r>
                </w:p>
              </w:tc>
              <w:tc>
                <w:tcPr>
                  <w:tcW w:w="2524" w:type="dxa"/>
                  <w:noWrap/>
                  <w:vAlign w:val="center"/>
                </w:tcPr>
                <w:p>
                  <w:pPr>
                    <w:pStyle w:val="178"/>
                    <w:widowControl w:val="0"/>
                    <w:rPr>
                      <w:color w:val="auto"/>
                      <w:szCs w:val="21"/>
                    </w:rPr>
                  </w:pPr>
                  <w:r>
                    <w:rPr>
                      <w:rFonts w:hint="eastAsia"/>
                      <w:color w:val="auto"/>
                      <w:szCs w:val="21"/>
                    </w:rPr>
                    <w:t>脲醛树脂胶游离甲醛</w:t>
                  </w:r>
                </w:p>
              </w:tc>
              <w:tc>
                <w:tcPr>
                  <w:tcW w:w="2349" w:type="dxa"/>
                  <w:noWrap/>
                  <w:vAlign w:val="center"/>
                </w:tcPr>
                <w:p>
                  <w:pPr>
                    <w:pStyle w:val="178"/>
                    <w:widowControl w:val="0"/>
                    <w:rPr>
                      <w:color w:val="auto"/>
                      <w:szCs w:val="21"/>
                    </w:rPr>
                  </w:pPr>
                  <w:r>
                    <w:rPr>
                      <w:rFonts w:hint="eastAsia"/>
                      <w:color w:val="auto"/>
                      <w:szCs w:val="21"/>
                    </w:rPr>
                    <w:t>是</w:t>
                  </w:r>
                </w:p>
              </w:tc>
              <w:tc>
                <w:tcPr>
                  <w:tcW w:w="2143" w:type="dxa"/>
                  <w:noWrap/>
                  <w:vAlign w:val="center"/>
                </w:tcPr>
                <w:p>
                  <w:pPr>
                    <w:pStyle w:val="178"/>
                    <w:widowControl w:val="0"/>
                    <w:ind w:left="-29"/>
                    <w:rPr>
                      <w:color w:val="auto"/>
                      <w:szCs w:val="21"/>
                    </w:rPr>
                  </w:pPr>
                  <w:r>
                    <w:rPr>
                      <w:color w:val="auto"/>
                      <w:szCs w:val="21"/>
                    </w:rPr>
                    <w:t>《</w:t>
                  </w:r>
                  <w:r>
                    <w:rPr>
                      <w:rFonts w:hint="eastAsia"/>
                      <w:color w:val="auto"/>
                      <w:szCs w:val="21"/>
                    </w:rPr>
                    <w:t>企业</w:t>
                  </w:r>
                  <w:r>
                    <w:rPr>
                      <w:color w:val="auto"/>
                      <w:szCs w:val="21"/>
                    </w:rPr>
                    <w:t>突发环境事件风险分级方法》（HJ941-2018）附录A</w:t>
                  </w:r>
                </w:p>
              </w:tc>
            </w:tr>
          </w:tbl>
          <w:p>
            <w:pPr>
              <w:adjustRightInd w:val="0"/>
              <w:snapToGrid w:val="0"/>
              <w:spacing w:line="360" w:lineRule="auto"/>
              <w:ind w:firstLine="480" w:firstLineChars="200"/>
              <w:rPr>
                <w:kern w:val="0"/>
                <w:szCs w:val="20"/>
              </w:rPr>
            </w:pPr>
            <w:r>
              <w:rPr>
                <w:kern w:val="0"/>
                <w:szCs w:val="20"/>
              </w:rPr>
              <w:t>本项目危险物质及厂中最大存在量与临界量见下表：</w:t>
            </w:r>
          </w:p>
          <w:p>
            <w:pPr>
              <w:pStyle w:val="100"/>
            </w:pPr>
            <w:r>
              <w:t>表</w:t>
            </w:r>
            <w:r>
              <w:rPr>
                <w:rFonts w:hint="eastAsia"/>
              </w:rPr>
              <w:t>4-</w:t>
            </w:r>
            <w:r>
              <w:t>22  项目危险物质一览表</w:t>
            </w:r>
          </w:p>
          <w:tbl>
            <w:tblPr>
              <w:tblStyle w:val="50"/>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3"/>
              <w:gridCol w:w="1752"/>
              <w:gridCol w:w="3366"/>
              <w:gridCol w:w="192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24" w:type="pct"/>
                  <w:shd w:val="clear" w:color="auto" w:fill="auto"/>
                  <w:vAlign w:val="center"/>
                </w:tcPr>
                <w:p>
                  <w:pPr>
                    <w:pStyle w:val="215"/>
                    <w:rPr>
                      <w:b/>
                      <w:bCs w:val="0"/>
                    </w:rPr>
                  </w:pPr>
                  <w:r>
                    <w:rPr>
                      <w:b/>
                      <w:bCs w:val="0"/>
                    </w:rPr>
                    <w:t>序号</w:t>
                  </w:r>
                </w:p>
              </w:tc>
              <w:tc>
                <w:tcPr>
                  <w:tcW w:w="1064" w:type="pct"/>
                  <w:shd w:val="clear" w:color="auto" w:fill="auto"/>
                  <w:vAlign w:val="center"/>
                </w:tcPr>
                <w:p>
                  <w:pPr>
                    <w:pStyle w:val="215"/>
                    <w:rPr>
                      <w:b/>
                      <w:bCs w:val="0"/>
                    </w:rPr>
                  </w:pPr>
                  <w:r>
                    <w:rPr>
                      <w:b/>
                      <w:bCs w:val="0"/>
                    </w:rPr>
                    <w:t>物质名称</w:t>
                  </w:r>
                </w:p>
              </w:tc>
              <w:tc>
                <w:tcPr>
                  <w:tcW w:w="2044" w:type="pct"/>
                  <w:shd w:val="clear" w:color="auto" w:fill="auto"/>
                  <w:vAlign w:val="center"/>
                </w:tcPr>
                <w:p>
                  <w:pPr>
                    <w:pStyle w:val="215"/>
                    <w:rPr>
                      <w:b/>
                      <w:bCs w:val="0"/>
                    </w:rPr>
                  </w:pPr>
                  <w:r>
                    <w:rPr>
                      <w:b/>
                      <w:bCs w:val="0"/>
                    </w:rPr>
                    <w:t>厂界内最大存在总量q（t）</w:t>
                  </w:r>
                </w:p>
              </w:tc>
              <w:tc>
                <w:tcPr>
                  <w:tcW w:w="1168" w:type="pct"/>
                  <w:shd w:val="clear" w:color="auto" w:fill="auto"/>
                  <w:vAlign w:val="center"/>
                </w:tcPr>
                <w:p>
                  <w:pPr>
                    <w:pStyle w:val="215"/>
                    <w:rPr>
                      <w:b/>
                      <w:bCs w:val="0"/>
                    </w:rPr>
                  </w:pPr>
                  <w:r>
                    <w:rPr>
                      <w:b/>
                      <w:bCs w:val="0"/>
                    </w:rPr>
                    <w:t>临界量Q</w:t>
                  </w:r>
                  <w:r>
                    <w:rPr>
                      <w:b/>
                      <w:bCs w:val="0"/>
                      <w:vertAlign w:val="subscript"/>
                    </w:rPr>
                    <w:t>1</w:t>
                  </w:r>
                  <w:r>
                    <w:rPr>
                      <w:b/>
                      <w:bCs w:val="0"/>
                    </w:rPr>
                    <w:t>（t）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24" w:type="pct"/>
                  <w:shd w:val="clear" w:color="auto" w:fill="auto"/>
                  <w:vAlign w:val="center"/>
                </w:tcPr>
                <w:p>
                  <w:pPr>
                    <w:pStyle w:val="215"/>
                  </w:pPr>
                  <w:r>
                    <w:t>1</w:t>
                  </w:r>
                </w:p>
              </w:tc>
              <w:tc>
                <w:tcPr>
                  <w:tcW w:w="1064" w:type="pct"/>
                  <w:shd w:val="clear" w:color="auto" w:fill="auto"/>
                  <w:vAlign w:val="center"/>
                </w:tcPr>
                <w:p>
                  <w:pPr>
                    <w:pStyle w:val="215"/>
                  </w:pPr>
                  <w:r>
                    <w:rPr>
                      <w:rFonts w:hint="eastAsia"/>
                    </w:rPr>
                    <w:t>游离甲醛</w:t>
                  </w:r>
                </w:p>
              </w:tc>
              <w:tc>
                <w:tcPr>
                  <w:tcW w:w="2044" w:type="pct"/>
                  <w:shd w:val="clear" w:color="auto" w:fill="auto"/>
                  <w:vAlign w:val="center"/>
                </w:tcPr>
                <w:p>
                  <w:pPr>
                    <w:pStyle w:val="215"/>
                    <w:rPr>
                      <w:szCs w:val="20"/>
                    </w:rPr>
                  </w:pPr>
                  <w:r>
                    <w:rPr>
                      <w:szCs w:val="20"/>
                    </w:rPr>
                    <w:t>0</w:t>
                  </w:r>
                  <w:r>
                    <w:rPr>
                      <w:rFonts w:hint="eastAsia"/>
                      <w:szCs w:val="20"/>
                    </w:rPr>
                    <w:t>.</w:t>
                  </w:r>
                  <w:r>
                    <w:rPr>
                      <w:szCs w:val="20"/>
                    </w:rPr>
                    <w:t>035</w:t>
                  </w:r>
                </w:p>
              </w:tc>
              <w:tc>
                <w:tcPr>
                  <w:tcW w:w="1168" w:type="pct"/>
                  <w:shd w:val="clear" w:color="auto" w:fill="auto"/>
                  <w:vAlign w:val="center"/>
                </w:tcPr>
                <w:p>
                  <w:pPr>
                    <w:pStyle w:val="215"/>
                    <w:rPr>
                      <w:szCs w:val="20"/>
                    </w:rPr>
                  </w:pPr>
                  <w:r>
                    <w:rPr>
                      <w:szCs w:val="20"/>
                    </w:rPr>
                    <w:t>0</w:t>
                  </w:r>
                  <w:r>
                    <w:rPr>
                      <w:rFonts w:hint="eastAsia"/>
                      <w:szCs w:val="20"/>
                    </w:rPr>
                    <w:t>.</w:t>
                  </w:r>
                  <w:r>
                    <w:rPr>
                      <w:szCs w:val="20"/>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24" w:type="pct"/>
                  <w:shd w:val="clear" w:color="auto" w:fill="auto"/>
                  <w:vAlign w:val="center"/>
                </w:tcPr>
                <w:p>
                  <w:pPr>
                    <w:pStyle w:val="215"/>
                  </w:pPr>
                  <w:r>
                    <w:rPr>
                      <w:rFonts w:hint="eastAsia"/>
                    </w:rPr>
                    <w:t>4</w:t>
                  </w:r>
                </w:p>
              </w:tc>
              <w:tc>
                <w:tcPr>
                  <w:tcW w:w="3108" w:type="pct"/>
                  <w:gridSpan w:val="2"/>
                  <w:shd w:val="clear" w:color="auto" w:fill="auto"/>
                  <w:vAlign w:val="center"/>
                </w:tcPr>
                <w:p>
                  <w:pPr>
                    <w:pStyle w:val="215"/>
                  </w:pPr>
                  <w:r>
                    <w:t>合计</w:t>
                  </w:r>
                </w:p>
              </w:tc>
              <w:tc>
                <w:tcPr>
                  <w:tcW w:w="1168" w:type="pct"/>
                  <w:shd w:val="clear" w:color="auto" w:fill="auto"/>
                  <w:vAlign w:val="center"/>
                </w:tcPr>
                <w:p>
                  <w:pPr>
                    <w:pStyle w:val="215"/>
                  </w:pPr>
                  <w:r>
                    <w:t>0</w:t>
                  </w:r>
                  <w:r>
                    <w:rPr>
                      <w:rFonts w:hint="eastAsia"/>
                    </w:rPr>
                    <w:t>.</w:t>
                  </w:r>
                  <w:r>
                    <w:t>07</w:t>
                  </w:r>
                </w:p>
              </w:tc>
            </w:tr>
          </w:tbl>
          <w:p>
            <w:pPr>
              <w:adjustRightInd w:val="0"/>
              <w:snapToGrid w:val="0"/>
              <w:spacing w:line="360" w:lineRule="auto"/>
              <w:ind w:firstLine="480" w:firstLineChars="200"/>
              <w:rPr>
                <w:kern w:val="0"/>
                <w:szCs w:val="20"/>
              </w:rPr>
            </w:pPr>
            <w:r>
              <w:rPr>
                <w:kern w:val="0"/>
                <w:szCs w:val="20"/>
              </w:rPr>
              <w:t>由上列数据计算可得本项目建成后Q＜1。根据《建设项目环境风险评价技术导则》（HJ/T169-2018）附录C，当Q＜1时，本项目环境风险潜势为</w:t>
            </w:r>
            <w:r>
              <w:rPr>
                <w:rFonts w:hint="eastAsia" w:ascii="宋体" w:hAnsi="宋体" w:cs="宋体"/>
                <w:kern w:val="0"/>
                <w:szCs w:val="20"/>
              </w:rPr>
              <w:t>Ⅰ</w:t>
            </w:r>
            <w:r>
              <w:rPr>
                <w:kern w:val="0"/>
                <w:szCs w:val="20"/>
              </w:rPr>
              <w:t>，可只开展简单分析。</w:t>
            </w:r>
          </w:p>
          <w:p>
            <w:pPr>
              <w:adjustRightInd w:val="0"/>
              <w:snapToGrid w:val="0"/>
              <w:spacing w:line="360" w:lineRule="auto"/>
              <w:ind w:firstLine="482" w:firstLineChars="200"/>
              <w:rPr>
                <w:b/>
                <w:bCs/>
                <w:kern w:val="0"/>
                <w:szCs w:val="20"/>
              </w:rPr>
            </w:pPr>
            <w:r>
              <w:rPr>
                <w:b/>
                <w:bCs/>
                <w:kern w:val="0"/>
                <w:szCs w:val="20"/>
              </w:rPr>
              <w:t>2、环境风险识别</w:t>
            </w:r>
          </w:p>
          <w:p>
            <w:pPr>
              <w:adjustRightInd w:val="0"/>
              <w:snapToGrid w:val="0"/>
              <w:spacing w:line="360" w:lineRule="auto"/>
              <w:ind w:firstLine="482" w:firstLineChars="200"/>
              <w:rPr>
                <w:b/>
                <w:bCs/>
                <w:kern w:val="0"/>
                <w:szCs w:val="20"/>
              </w:rPr>
            </w:pPr>
            <w:r>
              <w:rPr>
                <w:b/>
                <w:bCs/>
                <w:kern w:val="0"/>
                <w:szCs w:val="20"/>
              </w:rPr>
              <w:t>（1）危险物质识别</w:t>
            </w:r>
          </w:p>
          <w:p>
            <w:pPr>
              <w:adjustRightInd w:val="0"/>
              <w:snapToGrid w:val="0"/>
              <w:spacing w:line="360" w:lineRule="auto"/>
              <w:ind w:firstLine="480" w:firstLineChars="200"/>
              <w:rPr>
                <w:kern w:val="0"/>
                <w:szCs w:val="20"/>
              </w:rPr>
            </w:pPr>
            <w:r>
              <w:rPr>
                <w:kern w:val="0"/>
                <w:szCs w:val="20"/>
              </w:rPr>
              <w:t xml:space="preserve"> 项目存在风险物质主要为</w:t>
            </w:r>
            <w:r>
              <w:rPr>
                <w:rFonts w:hint="eastAsia"/>
                <w:kern w:val="0"/>
                <w:szCs w:val="20"/>
              </w:rPr>
              <w:t>游离甲醛</w:t>
            </w:r>
            <w:r>
              <w:rPr>
                <w:kern w:val="0"/>
                <w:szCs w:val="20"/>
              </w:rPr>
              <w:t>。</w:t>
            </w:r>
          </w:p>
          <w:p>
            <w:pPr>
              <w:pStyle w:val="100"/>
            </w:pPr>
            <w:r>
              <w:t>表</w:t>
            </w:r>
            <w:r>
              <w:rPr>
                <w:rFonts w:hint="eastAsia"/>
              </w:rPr>
              <w:t>4-</w:t>
            </w:r>
            <w:r>
              <w:t xml:space="preserve">23  </w:t>
            </w:r>
            <w:r>
              <w:rPr>
                <w:rFonts w:hint="eastAsia"/>
              </w:rPr>
              <w:t>甲醛</w:t>
            </w:r>
            <w:r>
              <w:t>的理化性质和危险特性</w:t>
            </w:r>
          </w:p>
          <w:tbl>
            <w:tblPr>
              <w:tblStyle w:val="50"/>
              <w:tblW w:w="8270"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474"/>
              <w:gridCol w:w="612"/>
              <w:gridCol w:w="825"/>
              <w:gridCol w:w="137"/>
              <w:gridCol w:w="908"/>
              <w:gridCol w:w="438"/>
              <w:gridCol w:w="579"/>
              <w:gridCol w:w="154"/>
              <w:gridCol w:w="249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000" w:type="pct"/>
                  <w:gridSpan w:val="10"/>
                </w:tcPr>
                <w:p>
                  <w:pPr>
                    <w:widowControl/>
                    <w:spacing w:line="360" w:lineRule="exact"/>
                    <w:jc w:val="center"/>
                    <w:rPr>
                      <w:sz w:val="21"/>
                      <w:szCs w:val="21"/>
                    </w:rPr>
                  </w:pPr>
                  <w:r>
                    <w:rPr>
                      <w:rFonts w:hint="eastAsia"/>
                      <w:sz w:val="21"/>
                      <w:szCs w:val="21"/>
                    </w:rPr>
                    <w:t>甲醛；福尔马林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tcPr>
                <w:p>
                  <w:pPr>
                    <w:widowControl/>
                    <w:spacing w:line="360" w:lineRule="exact"/>
                    <w:jc w:val="center"/>
                    <w:rPr>
                      <w:sz w:val="21"/>
                      <w:szCs w:val="21"/>
                    </w:rPr>
                  </w:pPr>
                  <w:r>
                    <w:rPr>
                      <w:sz w:val="21"/>
                      <w:szCs w:val="21"/>
                    </w:rPr>
                    <w:t>标识</w:t>
                  </w:r>
                </w:p>
              </w:tc>
              <w:tc>
                <w:tcPr>
                  <w:tcW w:w="1760" w:type="pct"/>
                  <w:gridSpan w:val="3"/>
                </w:tcPr>
                <w:p>
                  <w:pPr>
                    <w:widowControl/>
                    <w:spacing w:line="360" w:lineRule="exact"/>
                    <w:jc w:val="center"/>
                    <w:rPr>
                      <w:sz w:val="21"/>
                      <w:szCs w:val="21"/>
                    </w:rPr>
                  </w:pPr>
                  <w:r>
                    <w:rPr>
                      <w:sz w:val="21"/>
                      <w:szCs w:val="21"/>
                    </w:rPr>
                    <w:t>英文名：</w:t>
                  </w:r>
                  <w:r>
                    <w:rPr>
                      <w:rFonts w:hint="eastAsia"/>
                      <w:sz w:val="21"/>
                      <w:szCs w:val="21"/>
                    </w:rPr>
                    <w:t>formaldehyde</w:t>
                  </w:r>
                </w:p>
              </w:tc>
              <w:tc>
                <w:tcPr>
                  <w:tcW w:w="1340" w:type="pct"/>
                  <w:gridSpan w:val="5"/>
                </w:tcPr>
                <w:p>
                  <w:pPr>
                    <w:widowControl/>
                    <w:spacing w:line="360" w:lineRule="exact"/>
                    <w:jc w:val="center"/>
                    <w:rPr>
                      <w:sz w:val="21"/>
                      <w:szCs w:val="21"/>
                    </w:rPr>
                  </w:pPr>
                  <w:r>
                    <w:rPr>
                      <w:sz w:val="21"/>
                      <w:szCs w:val="21"/>
                    </w:rPr>
                    <w:t>分子式：</w:t>
                  </w:r>
                  <w:r>
                    <w:rPr>
                      <w:rFonts w:hint="eastAsia"/>
                      <w:sz w:val="21"/>
                      <w:szCs w:val="21"/>
                    </w:rPr>
                    <w:t>CH2O</w:t>
                  </w:r>
                </w:p>
              </w:tc>
              <w:tc>
                <w:tcPr>
                  <w:tcW w:w="1510" w:type="pct"/>
                </w:tcPr>
                <w:p>
                  <w:pPr>
                    <w:widowControl/>
                    <w:spacing w:line="360" w:lineRule="exact"/>
                    <w:jc w:val="center"/>
                    <w:rPr>
                      <w:sz w:val="21"/>
                      <w:szCs w:val="21"/>
                    </w:rPr>
                  </w:pPr>
                  <w:r>
                    <w:rPr>
                      <w:sz w:val="21"/>
                      <w:szCs w:val="21"/>
                    </w:rPr>
                    <w:t>分子量：3</w:t>
                  </w:r>
                  <w:r>
                    <w:rPr>
                      <w:rFonts w:hint="eastAsia"/>
                      <w:sz w:val="21"/>
                      <w:szCs w:val="21"/>
                    </w:rPr>
                    <w:t>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restart"/>
                </w:tcPr>
                <w:p>
                  <w:pPr>
                    <w:widowControl/>
                    <w:spacing w:line="360" w:lineRule="exact"/>
                    <w:jc w:val="center"/>
                    <w:rPr>
                      <w:sz w:val="21"/>
                      <w:szCs w:val="21"/>
                    </w:rPr>
                  </w:pPr>
                  <w:r>
                    <w:rPr>
                      <w:sz w:val="21"/>
                      <w:szCs w:val="21"/>
                    </w:rPr>
                    <w:t>理化性质</w:t>
                  </w:r>
                </w:p>
              </w:tc>
              <w:tc>
                <w:tcPr>
                  <w:tcW w:w="4610" w:type="pct"/>
                  <w:gridSpan w:val="9"/>
                </w:tcPr>
                <w:p>
                  <w:pPr>
                    <w:widowControl/>
                    <w:spacing w:line="360" w:lineRule="exact"/>
                    <w:jc w:val="center"/>
                    <w:rPr>
                      <w:sz w:val="21"/>
                      <w:szCs w:val="21"/>
                    </w:rPr>
                  </w:pPr>
                  <w:r>
                    <w:rPr>
                      <w:sz w:val="21"/>
                      <w:szCs w:val="21"/>
                    </w:rPr>
                    <w:t>外观与性状：</w:t>
                  </w:r>
                  <w:r>
                    <w:rPr>
                      <w:rFonts w:hint="eastAsia"/>
                      <w:sz w:val="21"/>
                      <w:szCs w:val="21"/>
                    </w:rPr>
                    <w:t>无色，具有刺激性和窒息性的气体，商品为其水溶液</w:t>
                  </w:r>
                  <w:r>
                    <w:rPr>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4610" w:type="pct"/>
                  <w:gridSpan w:val="9"/>
                </w:tcPr>
                <w:p>
                  <w:pPr>
                    <w:widowControl/>
                    <w:spacing w:line="360" w:lineRule="exact"/>
                    <w:jc w:val="center"/>
                    <w:rPr>
                      <w:sz w:val="21"/>
                      <w:szCs w:val="21"/>
                    </w:rPr>
                  </w:pPr>
                  <w:r>
                    <w:rPr>
                      <w:sz w:val="21"/>
                      <w:szCs w:val="21"/>
                    </w:rPr>
                    <w:t>熔点（</w:t>
                  </w:r>
                  <w:r>
                    <w:rPr>
                      <w:rFonts w:hint="eastAsia" w:ascii="宋体" w:hAnsi="宋体" w:cs="宋体"/>
                      <w:sz w:val="21"/>
                      <w:szCs w:val="21"/>
                    </w:rPr>
                    <w:t>℃</w:t>
                  </w:r>
                  <w:r>
                    <w:rPr>
                      <w:sz w:val="21"/>
                      <w:szCs w:val="21"/>
                    </w:rPr>
                    <w:t>）：</w:t>
                  </w:r>
                  <w:r>
                    <w:rPr>
                      <w:rFonts w:hint="eastAsia"/>
                      <w:sz w:val="21"/>
                      <w:szCs w:val="21"/>
                    </w:rPr>
                    <w:t>-92</w:t>
                  </w:r>
                  <w:r>
                    <w:rPr>
                      <w:sz w:val="21"/>
                      <w:szCs w:val="21"/>
                    </w:rPr>
                    <w:t>；         沸点：</w:t>
                  </w:r>
                  <w:r>
                    <w:rPr>
                      <w:rFonts w:hint="eastAsia"/>
                      <w:sz w:val="21"/>
                      <w:szCs w:val="21"/>
                    </w:rPr>
                    <w:t>-19.4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90" w:type="pct"/>
                  <w:vMerge w:val="continue"/>
                </w:tcPr>
                <w:p>
                  <w:pPr>
                    <w:widowControl/>
                    <w:spacing w:line="360" w:lineRule="exact"/>
                    <w:jc w:val="center"/>
                    <w:rPr>
                      <w:sz w:val="21"/>
                      <w:szCs w:val="21"/>
                    </w:rPr>
                  </w:pPr>
                </w:p>
              </w:tc>
              <w:tc>
                <w:tcPr>
                  <w:tcW w:w="2392" w:type="pct"/>
                  <w:gridSpan w:val="5"/>
                </w:tcPr>
                <w:p>
                  <w:pPr>
                    <w:widowControl/>
                    <w:spacing w:line="360" w:lineRule="exact"/>
                    <w:jc w:val="center"/>
                    <w:rPr>
                      <w:sz w:val="21"/>
                      <w:szCs w:val="21"/>
                    </w:rPr>
                  </w:pPr>
                  <w:r>
                    <w:rPr>
                      <w:sz w:val="21"/>
                      <w:szCs w:val="21"/>
                    </w:rPr>
                    <w:t>相对密度（水=1）：</w:t>
                  </w:r>
                  <w:r>
                    <w:rPr>
                      <w:rFonts w:hint="eastAsia"/>
                      <w:sz w:val="21"/>
                      <w:szCs w:val="21"/>
                    </w:rPr>
                    <w:t>0.82</w:t>
                  </w:r>
                </w:p>
              </w:tc>
              <w:tc>
                <w:tcPr>
                  <w:tcW w:w="2218" w:type="pct"/>
                  <w:gridSpan w:val="4"/>
                </w:tcPr>
                <w:p>
                  <w:pPr>
                    <w:widowControl/>
                    <w:spacing w:line="360" w:lineRule="exact"/>
                    <w:jc w:val="center"/>
                    <w:rPr>
                      <w:sz w:val="21"/>
                      <w:szCs w:val="21"/>
                    </w:rPr>
                  </w:pPr>
                  <w:r>
                    <w:rPr>
                      <w:sz w:val="21"/>
                      <w:szCs w:val="21"/>
                    </w:rPr>
                    <w:t>相对密度（空气=1）：</w:t>
                  </w:r>
                  <w:r>
                    <w:rPr>
                      <w:rFonts w:hint="eastAsia"/>
                      <w:sz w:val="21"/>
                      <w:szCs w:val="21"/>
                    </w:rPr>
                    <w:t>1.07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restart"/>
                </w:tcPr>
                <w:p>
                  <w:pPr>
                    <w:widowControl/>
                    <w:spacing w:line="360" w:lineRule="exact"/>
                    <w:jc w:val="center"/>
                    <w:rPr>
                      <w:sz w:val="21"/>
                      <w:szCs w:val="21"/>
                    </w:rPr>
                  </w:pPr>
                  <w:r>
                    <w:rPr>
                      <w:sz w:val="21"/>
                      <w:szCs w:val="21"/>
                    </w:rPr>
                    <w:t>燃烧爆炸危险性</w:t>
                  </w:r>
                </w:p>
              </w:tc>
              <w:tc>
                <w:tcPr>
                  <w:tcW w:w="1261" w:type="pct"/>
                  <w:gridSpan w:val="2"/>
                </w:tcPr>
                <w:p>
                  <w:pPr>
                    <w:widowControl/>
                    <w:spacing w:line="360" w:lineRule="exact"/>
                    <w:jc w:val="center"/>
                    <w:rPr>
                      <w:sz w:val="21"/>
                      <w:szCs w:val="21"/>
                    </w:rPr>
                  </w:pPr>
                  <w:r>
                    <w:rPr>
                      <w:sz w:val="21"/>
                      <w:szCs w:val="21"/>
                    </w:rPr>
                    <w:t>燃烧性：</w:t>
                  </w:r>
                </w:p>
              </w:tc>
              <w:tc>
                <w:tcPr>
                  <w:tcW w:w="1746" w:type="pct"/>
                  <w:gridSpan w:val="5"/>
                </w:tcPr>
                <w:p>
                  <w:pPr>
                    <w:widowControl/>
                    <w:spacing w:line="360" w:lineRule="exact"/>
                    <w:jc w:val="center"/>
                    <w:rPr>
                      <w:sz w:val="21"/>
                      <w:szCs w:val="21"/>
                    </w:rPr>
                  </w:pPr>
                  <w:r>
                    <w:rPr>
                      <w:sz w:val="21"/>
                      <w:szCs w:val="21"/>
                    </w:rPr>
                    <w:t xml:space="preserve">建规火险分级： </w:t>
                  </w:r>
                </w:p>
              </w:tc>
              <w:tc>
                <w:tcPr>
                  <w:tcW w:w="1603" w:type="pct"/>
                  <w:gridSpan w:val="2"/>
                </w:tcPr>
                <w:p>
                  <w:pPr>
                    <w:widowControl/>
                    <w:spacing w:line="360" w:lineRule="exact"/>
                    <w:jc w:val="center"/>
                    <w:rPr>
                      <w:sz w:val="21"/>
                      <w:szCs w:val="21"/>
                    </w:rPr>
                  </w:pPr>
                  <w:r>
                    <w:rPr>
                      <w:sz w:val="21"/>
                      <w:szCs w:val="21"/>
                    </w:rPr>
                    <w:t>闪点（</w:t>
                  </w:r>
                  <w:r>
                    <w:rPr>
                      <w:rFonts w:hint="eastAsia" w:ascii="宋体" w:hAnsi="宋体" w:cs="宋体"/>
                      <w:sz w:val="21"/>
                      <w:szCs w:val="21"/>
                    </w:rPr>
                    <w:t>℃</w:t>
                  </w:r>
                  <w:r>
                    <w:rPr>
                      <w:sz w:val="21"/>
                      <w:szCs w:val="21"/>
                    </w:rPr>
                    <w:t xml:space="preserve">）： </w:t>
                  </w:r>
                  <w:r>
                    <w:rPr>
                      <w:rFonts w:hint="eastAsia"/>
                      <w:sz w:val="21"/>
                      <w:szCs w:val="21"/>
                    </w:rPr>
                    <w:t>83cc</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1261" w:type="pct"/>
                  <w:gridSpan w:val="2"/>
                </w:tcPr>
                <w:p>
                  <w:pPr>
                    <w:widowControl/>
                    <w:spacing w:line="360" w:lineRule="exact"/>
                    <w:jc w:val="center"/>
                    <w:rPr>
                      <w:sz w:val="21"/>
                      <w:szCs w:val="21"/>
                    </w:rPr>
                  </w:pPr>
                  <w:r>
                    <w:rPr>
                      <w:sz w:val="21"/>
                      <w:szCs w:val="21"/>
                    </w:rPr>
                    <w:t>引燃温度（</w:t>
                  </w:r>
                  <w:r>
                    <w:rPr>
                      <w:rFonts w:hint="eastAsia" w:ascii="宋体" w:hAnsi="宋体" w:cs="宋体"/>
                      <w:sz w:val="21"/>
                      <w:szCs w:val="21"/>
                    </w:rPr>
                    <w:t>℃</w:t>
                  </w:r>
                  <w:r>
                    <w:rPr>
                      <w:sz w:val="21"/>
                      <w:szCs w:val="21"/>
                    </w:rPr>
                    <w:t>）：</w:t>
                  </w:r>
                  <w:r>
                    <w:rPr>
                      <w:rFonts w:hint="eastAsia"/>
                      <w:sz w:val="21"/>
                      <w:szCs w:val="21"/>
                    </w:rPr>
                    <w:t>430</w:t>
                  </w:r>
                </w:p>
              </w:tc>
              <w:tc>
                <w:tcPr>
                  <w:tcW w:w="1746" w:type="pct"/>
                  <w:gridSpan w:val="5"/>
                </w:tcPr>
                <w:p>
                  <w:pPr>
                    <w:widowControl/>
                    <w:spacing w:line="360" w:lineRule="exact"/>
                    <w:jc w:val="center"/>
                    <w:rPr>
                      <w:sz w:val="21"/>
                      <w:szCs w:val="21"/>
                    </w:rPr>
                  </w:pPr>
                  <w:r>
                    <w:rPr>
                      <w:sz w:val="21"/>
                      <w:szCs w:val="21"/>
                    </w:rPr>
                    <w:t>爆炸下限（V%）：</w:t>
                  </w:r>
                  <w:r>
                    <w:rPr>
                      <w:rFonts w:hint="eastAsia"/>
                      <w:sz w:val="21"/>
                      <w:szCs w:val="21"/>
                    </w:rPr>
                    <w:t>7.0</w:t>
                  </w:r>
                </w:p>
              </w:tc>
              <w:tc>
                <w:tcPr>
                  <w:tcW w:w="1603" w:type="pct"/>
                  <w:gridSpan w:val="2"/>
                </w:tcPr>
                <w:p>
                  <w:pPr>
                    <w:widowControl/>
                    <w:spacing w:line="360" w:lineRule="exact"/>
                    <w:jc w:val="center"/>
                    <w:rPr>
                      <w:sz w:val="21"/>
                      <w:szCs w:val="21"/>
                    </w:rPr>
                  </w:pPr>
                  <w:r>
                    <w:rPr>
                      <w:sz w:val="21"/>
                      <w:szCs w:val="21"/>
                    </w:rPr>
                    <w:t>爆炸上限（V%）：</w:t>
                  </w:r>
                  <w:r>
                    <w:rPr>
                      <w:rFonts w:hint="eastAsia"/>
                      <w:sz w:val="21"/>
                      <w:szCs w:val="21"/>
                    </w:rPr>
                    <w:t>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sz w:val="21"/>
                      <w:szCs w:val="21"/>
                    </w:rPr>
                    <w:t>危险特性</w:t>
                  </w:r>
                </w:p>
              </w:tc>
              <w:tc>
                <w:tcPr>
                  <w:tcW w:w="3719" w:type="pct"/>
                  <w:gridSpan w:val="8"/>
                </w:tcPr>
                <w:p>
                  <w:pPr>
                    <w:widowControl/>
                    <w:spacing w:line="360" w:lineRule="exact"/>
                    <w:jc w:val="center"/>
                    <w:rPr>
                      <w:sz w:val="21"/>
                      <w:szCs w:val="21"/>
                    </w:rPr>
                  </w:pPr>
                  <w:r>
                    <w:rPr>
                      <w:rFonts w:hint="eastAsia"/>
                      <w:sz w:val="21"/>
                      <w:szCs w:val="21"/>
                    </w:rPr>
                    <w:t>其蒸气可与空气形成爆炸性混合物。遇明火、高热能引起燃烧爆炸；与氧化剂接触猛烈反应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rFonts w:hint="eastAsia"/>
                      <w:sz w:val="21"/>
                      <w:szCs w:val="21"/>
                    </w:rPr>
                    <w:t>灭火剂</w:t>
                  </w:r>
                </w:p>
              </w:tc>
              <w:tc>
                <w:tcPr>
                  <w:tcW w:w="3719" w:type="pct"/>
                  <w:gridSpan w:val="8"/>
                </w:tcPr>
                <w:p>
                  <w:pPr>
                    <w:widowControl/>
                    <w:spacing w:line="360" w:lineRule="exact"/>
                    <w:jc w:val="center"/>
                    <w:rPr>
                      <w:sz w:val="21"/>
                      <w:szCs w:val="21"/>
                    </w:rPr>
                  </w:pPr>
                  <w:r>
                    <w:rPr>
                      <w:rFonts w:hint="eastAsia"/>
                      <w:sz w:val="21"/>
                      <w:szCs w:val="21"/>
                    </w:rPr>
                    <w:t>雾状水、抗溶性泡沫、干粉、二氧化碳、砂土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sz w:val="21"/>
                      <w:szCs w:val="21"/>
                    </w:rPr>
                    <w:t>灭火方法</w:t>
                  </w:r>
                </w:p>
              </w:tc>
              <w:tc>
                <w:tcPr>
                  <w:tcW w:w="3719" w:type="pct"/>
                  <w:gridSpan w:val="8"/>
                </w:tcPr>
                <w:p>
                  <w:pPr>
                    <w:widowControl/>
                    <w:spacing w:line="360" w:lineRule="exact"/>
                    <w:jc w:val="center"/>
                    <w:rPr>
                      <w:sz w:val="21"/>
                      <w:szCs w:val="21"/>
                    </w:rPr>
                  </w:pPr>
                  <w:r>
                    <w:rPr>
                      <w:sz w:val="21"/>
                      <w:szCs w:val="21"/>
                    </w:rPr>
                    <w:t>采用水、雾状水、砂土灭火。</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4" w:hRule="atLeast"/>
              </w:trPr>
              <w:tc>
                <w:tcPr>
                  <w:tcW w:w="390" w:type="pct"/>
                  <w:vMerge w:val="restart"/>
                </w:tcPr>
                <w:p>
                  <w:pPr>
                    <w:widowControl/>
                    <w:spacing w:line="360" w:lineRule="exact"/>
                    <w:jc w:val="center"/>
                    <w:rPr>
                      <w:sz w:val="21"/>
                      <w:szCs w:val="21"/>
                    </w:rPr>
                  </w:pPr>
                  <w:r>
                    <w:rPr>
                      <w:sz w:val="21"/>
                      <w:szCs w:val="21"/>
                    </w:rPr>
                    <w:t>毒性及健康危害</w:t>
                  </w:r>
                </w:p>
              </w:tc>
              <w:tc>
                <w:tcPr>
                  <w:tcW w:w="1843" w:type="pct"/>
                  <w:gridSpan w:val="4"/>
                </w:tcPr>
                <w:p>
                  <w:pPr>
                    <w:widowControl/>
                    <w:spacing w:line="360" w:lineRule="exact"/>
                    <w:jc w:val="center"/>
                    <w:rPr>
                      <w:sz w:val="21"/>
                      <w:szCs w:val="21"/>
                    </w:rPr>
                  </w:pPr>
                  <w:r>
                    <w:rPr>
                      <w:rFonts w:hint="eastAsia"/>
                      <w:sz w:val="21"/>
                      <w:szCs w:val="21"/>
                    </w:rPr>
                    <w:t>工作场所中空气容许浓度（mg/m3）</w:t>
                  </w:r>
                </w:p>
              </w:tc>
              <w:tc>
                <w:tcPr>
                  <w:tcW w:w="2767" w:type="pct"/>
                  <w:gridSpan w:val="5"/>
                </w:tcPr>
                <w:p>
                  <w:pPr>
                    <w:widowControl/>
                    <w:spacing w:line="360" w:lineRule="exact"/>
                    <w:jc w:val="center"/>
                    <w:rPr>
                      <w:sz w:val="21"/>
                      <w:szCs w:val="21"/>
                    </w:rPr>
                  </w:pPr>
                  <w:r>
                    <w:rPr>
                      <w:rFonts w:hint="eastAsia"/>
                      <w:sz w:val="21"/>
                      <w:szCs w:val="21"/>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sz w:val="21"/>
                      <w:szCs w:val="21"/>
                    </w:rPr>
                    <w:t>侵入途径</w:t>
                  </w:r>
                </w:p>
              </w:tc>
              <w:tc>
                <w:tcPr>
                  <w:tcW w:w="3719" w:type="pct"/>
                  <w:gridSpan w:val="8"/>
                </w:tcPr>
                <w:p>
                  <w:pPr>
                    <w:widowControl/>
                    <w:spacing w:line="360" w:lineRule="exact"/>
                    <w:jc w:val="center"/>
                    <w:rPr>
                      <w:sz w:val="21"/>
                      <w:szCs w:val="21"/>
                    </w:rPr>
                  </w:pPr>
                  <w:r>
                    <w:rPr>
                      <w:sz w:val="21"/>
                      <w:szCs w:val="21"/>
                    </w:rPr>
                    <w:t>吸入、食入、经皮吸收。</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rFonts w:hint="eastAsia"/>
                      <w:sz w:val="21"/>
                      <w:szCs w:val="21"/>
                    </w:rPr>
                    <w:t>物质危险性类别</w:t>
                  </w:r>
                </w:p>
              </w:tc>
              <w:tc>
                <w:tcPr>
                  <w:tcW w:w="3719" w:type="pct"/>
                  <w:gridSpan w:val="8"/>
                </w:tcPr>
                <w:p>
                  <w:pPr>
                    <w:widowControl/>
                    <w:spacing w:line="360" w:lineRule="exact"/>
                    <w:jc w:val="center"/>
                    <w:rPr>
                      <w:sz w:val="21"/>
                      <w:szCs w:val="21"/>
                    </w:rPr>
                  </w:pPr>
                  <w:r>
                    <w:rPr>
                      <w:rFonts w:hint="eastAsia"/>
                      <w:sz w:val="21"/>
                      <w:szCs w:val="21"/>
                    </w:rPr>
                    <w:t>急性毒性类别3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rFonts w:hint="eastAsia"/>
                      <w:sz w:val="21"/>
                      <w:szCs w:val="21"/>
                    </w:rPr>
                    <w:t>火灾危险性分类</w:t>
                  </w:r>
                </w:p>
              </w:tc>
              <w:tc>
                <w:tcPr>
                  <w:tcW w:w="3719" w:type="pct"/>
                  <w:gridSpan w:val="8"/>
                </w:tcPr>
                <w:p>
                  <w:pPr>
                    <w:widowControl/>
                    <w:spacing w:line="360" w:lineRule="exact"/>
                    <w:jc w:val="center"/>
                    <w:rPr>
                      <w:sz w:val="21"/>
                      <w:szCs w:val="21"/>
                    </w:rPr>
                  </w:pPr>
                  <w:r>
                    <w:rPr>
                      <w:rFonts w:hint="eastAsia"/>
                      <w:sz w:val="21"/>
                      <w:szCs w:val="21"/>
                    </w:rPr>
                    <w:t>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sz w:val="21"/>
                      <w:szCs w:val="21"/>
                    </w:rPr>
                    <w:t>健康危害</w:t>
                  </w:r>
                </w:p>
              </w:tc>
              <w:tc>
                <w:tcPr>
                  <w:tcW w:w="3719" w:type="pct"/>
                  <w:gridSpan w:val="8"/>
                </w:tcPr>
                <w:p>
                  <w:pPr>
                    <w:widowControl/>
                    <w:spacing w:line="360" w:lineRule="exact"/>
                    <w:jc w:val="center"/>
                    <w:rPr>
                      <w:sz w:val="21"/>
                      <w:szCs w:val="21"/>
                    </w:rPr>
                  </w:pPr>
                  <w:r>
                    <w:rPr>
                      <w:rFonts w:hint="eastAsia"/>
                      <w:sz w:val="21"/>
                      <w:szCs w:val="21"/>
                    </w:rPr>
                    <w:t>本品对粘膜、上呼吸道、 眼睛和皮肤有强烈刺激性。接触其蒸气，引起结膜炎、角膜炎、鼻炎、支气管炎;重者发生喉痉挛、声门水肿和肺炎等。肺水肿较少见。对皮肤有原发性刺激和致敏作用，可致皮炎;浓溶液可引起皮肤凝固性坏死。口服灼伤口腔和消化道，可发生胃肠道穿孔，休克，肾和肝脏损害。慢性影响：长期接触低浓度甲醛可有轻度眼、鼻、咽喉刺激症状，皮肤干燥、皲裂、甲软化等。</w:t>
                  </w:r>
                  <w:r>
                    <w:rPr>
                      <w:sz w:val="21"/>
                      <w:szCs w:val="21"/>
                    </w:rPr>
                    <w:t>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90" w:type="pct"/>
                  <w:vMerge w:val="restart"/>
                </w:tcPr>
                <w:p>
                  <w:pPr>
                    <w:widowControl/>
                    <w:spacing w:line="360" w:lineRule="exact"/>
                    <w:jc w:val="center"/>
                    <w:rPr>
                      <w:sz w:val="21"/>
                      <w:szCs w:val="21"/>
                    </w:rPr>
                  </w:pPr>
                  <w:r>
                    <w:rPr>
                      <w:sz w:val="21"/>
                      <w:szCs w:val="21"/>
                    </w:rPr>
                    <w:t>包装与储运</w:t>
                  </w:r>
                </w:p>
              </w:tc>
              <w:tc>
                <w:tcPr>
                  <w:tcW w:w="2657" w:type="pct"/>
                  <w:gridSpan w:val="6"/>
                </w:tcPr>
                <w:p>
                  <w:pPr>
                    <w:widowControl/>
                    <w:spacing w:line="360" w:lineRule="exact"/>
                    <w:jc w:val="center"/>
                    <w:rPr>
                      <w:sz w:val="21"/>
                      <w:szCs w:val="21"/>
                    </w:rPr>
                  </w:pPr>
                  <w:r>
                    <w:rPr>
                      <w:rFonts w:hint="eastAsia"/>
                      <w:sz w:val="21"/>
                      <w:szCs w:val="21"/>
                    </w:rPr>
                    <w:t>包装</w:t>
                  </w:r>
                  <w:r>
                    <w:rPr>
                      <w:sz w:val="21"/>
                      <w:szCs w:val="21"/>
                    </w:rPr>
                    <w:t xml:space="preserve">类别： </w:t>
                  </w:r>
                  <w:r>
                    <w:rPr>
                      <w:rFonts w:hint="eastAsia"/>
                      <w:sz w:val="21"/>
                      <w:szCs w:val="21"/>
                    </w:rPr>
                    <w:t>Ⅲ类包装</w:t>
                  </w:r>
                </w:p>
              </w:tc>
              <w:tc>
                <w:tcPr>
                  <w:tcW w:w="1952" w:type="pct"/>
                  <w:gridSpan w:val="3"/>
                </w:tcPr>
                <w:p>
                  <w:pPr>
                    <w:widowControl/>
                    <w:spacing w:line="360" w:lineRule="exact"/>
                    <w:jc w:val="center"/>
                    <w:rPr>
                      <w:sz w:val="21"/>
                      <w:szCs w:val="21"/>
                    </w:rPr>
                  </w:pPr>
                  <w:r>
                    <w:rPr>
                      <w:sz w:val="21"/>
                      <w:szCs w:val="21"/>
                    </w:rPr>
                    <w:t>危险货物包装标志：</w:t>
                  </w:r>
                  <w:r>
                    <w:rPr>
                      <w:rFonts w:hint="eastAsia"/>
                      <w:sz w:val="21"/>
                      <w:szCs w:val="21"/>
                    </w:rPr>
                    <w:t>腐蚀品；有毒品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4" w:hRule="atLeast"/>
              </w:trPr>
              <w:tc>
                <w:tcPr>
                  <w:tcW w:w="390" w:type="pct"/>
                  <w:vMerge w:val="continue"/>
                </w:tcPr>
                <w:p>
                  <w:pPr>
                    <w:widowControl/>
                    <w:spacing w:line="360" w:lineRule="exact"/>
                    <w:jc w:val="center"/>
                    <w:rPr>
                      <w:sz w:val="21"/>
                      <w:szCs w:val="21"/>
                    </w:rPr>
                  </w:pPr>
                </w:p>
              </w:tc>
              <w:tc>
                <w:tcPr>
                  <w:tcW w:w="891" w:type="pct"/>
                </w:tcPr>
                <w:p>
                  <w:pPr>
                    <w:widowControl/>
                    <w:spacing w:line="360" w:lineRule="exact"/>
                    <w:jc w:val="center"/>
                    <w:rPr>
                      <w:sz w:val="21"/>
                      <w:szCs w:val="21"/>
                    </w:rPr>
                  </w:pPr>
                  <w:r>
                    <w:rPr>
                      <w:sz w:val="21"/>
                      <w:szCs w:val="21"/>
                    </w:rPr>
                    <w:t>储运注意事项</w:t>
                  </w:r>
                </w:p>
              </w:tc>
              <w:tc>
                <w:tcPr>
                  <w:tcW w:w="3719" w:type="pct"/>
                  <w:gridSpan w:val="8"/>
                </w:tcPr>
                <w:p>
                  <w:pPr>
                    <w:widowControl/>
                    <w:spacing w:line="360" w:lineRule="exact"/>
                    <w:jc w:val="center"/>
                    <w:rPr>
                      <w:sz w:val="21"/>
                      <w:szCs w:val="21"/>
                    </w:rPr>
                  </w:pPr>
                  <w:r>
                    <w:rPr>
                      <w:rFonts w:hint="eastAsia"/>
                      <w:sz w:val="21"/>
                      <w:szCs w:val="21"/>
                    </w:rPr>
                    <w:t>储存于阴凉、通风的库房。远离火种、热源。库温不宜超过30C。冻季应保持库温不低于10C。包装要求密封，不可与空气接触。应与氧化剂、酸类、碱类分开存放，切忌混储。采用防爆型照明、通风设施。禁止使用易产生火花的机械设备和工具。储区应备有泄漏应急处理设备和合适的收容材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390" w:type="pct"/>
                </w:tcPr>
                <w:p>
                  <w:pPr>
                    <w:widowControl/>
                    <w:spacing w:line="360" w:lineRule="exact"/>
                    <w:jc w:val="center"/>
                    <w:rPr>
                      <w:sz w:val="21"/>
                      <w:szCs w:val="21"/>
                    </w:rPr>
                  </w:pPr>
                  <w:r>
                    <w:rPr>
                      <w:sz w:val="21"/>
                      <w:szCs w:val="21"/>
                    </w:rPr>
                    <w:t>防护措施</w:t>
                  </w:r>
                </w:p>
              </w:tc>
              <w:tc>
                <w:tcPr>
                  <w:tcW w:w="4610" w:type="pct"/>
                  <w:gridSpan w:val="9"/>
                </w:tcPr>
                <w:p>
                  <w:pPr>
                    <w:widowControl/>
                    <w:spacing w:line="360" w:lineRule="exact"/>
                    <w:jc w:val="center"/>
                    <w:rPr>
                      <w:sz w:val="21"/>
                      <w:szCs w:val="21"/>
                    </w:rPr>
                  </w:pPr>
                  <w:r>
                    <w:rPr>
                      <w:sz w:val="21"/>
                      <w:szCs w:val="21"/>
                    </w:rPr>
                    <w:t xml:space="preserve">呼吸系统防护：可能接触其蒸气时，应该佩戴导管式防毒面具或直接式防毒面具（半面罩）。 </w:t>
                  </w:r>
                </w:p>
                <w:p>
                  <w:pPr>
                    <w:widowControl/>
                    <w:spacing w:line="360" w:lineRule="exact"/>
                    <w:jc w:val="center"/>
                    <w:rPr>
                      <w:sz w:val="21"/>
                      <w:szCs w:val="21"/>
                    </w:rPr>
                  </w:pPr>
                  <w:r>
                    <w:rPr>
                      <w:sz w:val="21"/>
                      <w:szCs w:val="21"/>
                    </w:rPr>
                    <w:t xml:space="preserve">眼睛防护：戴化学安全防护眼镜。 </w:t>
                  </w:r>
                </w:p>
                <w:p>
                  <w:pPr>
                    <w:widowControl/>
                    <w:spacing w:line="360" w:lineRule="exact"/>
                    <w:jc w:val="center"/>
                    <w:rPr>
                      <w:sz w:val="21"/>
                      <w:szCs w:val="21"/>
                    </w:rPr>
                  </w:pPr>
                  <w:r>
                    <w:rPr>
                      <w:sz w:val="21"/>
                      <w:szCs w:val="21"/>
                    </w:rPr>
                    <w:t>身体防护：穿防酸碱工作服。</w:t>
                  </w:r>
                </w:p>
                <w:p>
                  <w:pPr>
                    <w:widowControl/>
                    <w:spacing w:line="360" w:lineRule="exact"/>
                    <w:jc w:val="center"/>
                    <w:rPr>
                      <w:sz w:val="21"/>
                      <w:szCs w:val="21"/>
                    </w:rPr>
                  </w:pPr>
                  <w:r>
                    <w:rPr>
                      <w:sz w:val="21"/>
                      <w:szCs w:val="21"/>
                    </w:rPr>
                    <w:t xml:space="preserve">手防护：戴橡胶手套。 </w:t>
                  </w:r>
                </w:p>
                <w:p>
                  <w:pPr>
                    <w:widowControl/>
                    <w:spacing w:line="360" w:lineRule="exact"/>
                    <w:jc w:val="center"/>
                    <w:rPr>
                      <w:sz w:val="21"/>
                      <w:szCs w:val="21"/>
                    </w:rPr>
                  </w:pPr>
                  <w:r>
                    <w:rPr>
                      <w:sz w:val="21"/>
                      <w:szCs w:val="21"/>
                    </w:rPr>
                    <w:t xml:space="preserve">其他防护：工作现场禁止吸烟、进食和饮水。工作完毕，淋浴更衣。保持良好的卫生习惯。  </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7" w:hRule="atLeast"/>
              </w:trPr>
              <w:tc>
                <w:tcPr>
                  <w:tcW w:w="390" w:type="pct"/>
                </w:tcPr>
                <w:p>
                  <w:pPr>
                    <w:widowControl/>
                    <w:spacing w:line="360" w:lineRule="exact"/>
                    <w:jc w:val="center"/>
                    <w:rPr>
                      <w:sz w:val="21"/>
                      <w:szCs w:val="21"/>
                    </w:rPr>
                  </w:pPr>
                  <w:r>
                    <w:rPr>
                      <w:sz w:val="21"/>
                      <w:szCs w:val="21"/>
                    </w:rPr>
                    <w:t>泄漏处置</w:t>
                  </w:r>
                </w:p>
              </w:tc>
              <w:tc>
                <w:tcPr>
                  <w:tcW w:w="4610" w:type="pct"/>
                  <w:gridSpan w:val="9"/>
                </w:tcPr>
                <w:p>
                  <w:pPr>
                    <w:widowControl/>
                    <w:spacing w:line="360" w:lineRule="exact"/>
                    <w:jc w:val="center"/>
                    <w:rPr>
                      <w:sz w:val="21"/>
                      <w:szCs w:val="21"/>
                    </w:rPr>
                  </w:pPr>
                  <w:r>
                    <w:rPr>
                      <w:rFonts w:hint="eastAsia"/>
                      <w:sz w:val="21"/>
                      <w:szCs w:val="21"/>
                    </w:rPr>
                    <w:t>迅速撤离泄漏污染区人员至安全区，并进行隔离，严格限制出入。切断火源。建议应急处理人员戴自给正压式呼吸器，穿防酸碱工作服。从上风处进入现场。尽可能切断泄漏源。防止流入下水道、排洪沟等限制性空间。小量泄漏:用砂土或其它不燃材料吸附或吸收。也可以用大量水冲洗，洗水稀释后排入事故应急池，然后用泵转移至槽车作危险废物妥善处置。大量泄漏:构筑围堤或挖坑收容。用泡沫覆盖，降低蒸气灾害。喷雾状水冷却和稀释蒸汽、保护现场人员、把泄漏物稀释成不燃物。排入事故应急池，然后用泵转移至槽车作危险废物妥善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8" w:hRule="atLeast"/>
              </w:trPr>
              <w:tc>
                <w:tcPr>
                  <w:tcW w:w="390" w:type="pct"/>
                </w:tcPr>
                <w:p>
                  <w:pPr>
                    <w:widowControl/>
                    <w:spacing w:line="360" w:lineRule="exact"/>
                    <w:jc w:val="center"/>
                    <w:rPr>
                      <w:sz w:val="21"/>
                      <w:szCs w:val="21"/>
                    </w:rPr>
                  </w:pPr>
                  <w:r>
                    <w:rPr>
                      <w:rFonts w:hint="eastAsia"/>
                      <w:sz w:val="21"/>
                      <w:szCs w:val="21"/>
                    </w:rPr>
                    <w:t>操作注意事项</w:t>
                  </w:r>
                </w:p>
              </w:tc>
              <w:tc>
                <w:tcPr>
                  <w:tcW w:w="4610" w:type="pct"/>
                  <w:gridSpan w:val="9"/>
                </w:tcPr>
                <w:p>
                  <w:pPr>
                    <w:widowControl/>
                    <w:spacing w:line="360" w:lineRule="exact"/>
                    <w:jc w:val="center"/>
                    <w:rPr>
                      <w:sz w:val="21"/>
                      <w:szCs w:val="21"/>
                    </w:rPr>
                  </w:pPr>
                  <w:r>
                    <w:rPr>
                      <w:rFonts w:hint="eastAsia"/>
                      <w:sz w:val="21"/>
                      <w:szCs w:val="21"/>
                    </w:rPr>
                    <w:t>储存于阴凉、通风的库房。远离火种、热源。库温不宜超过30C。冻季应保持库温不低于10C。包装要求密封，不可与空气接触。应与氧化剂、酸类、碱类分开存放，切忌混储。采用防爆型照明、通风设施。禁止使用易产生火花的机械设备和工具。储区应备有泄漏应急处理设备和合适的收容材料。</w:t>
                  </w:r>
                </w:p>
              </w:tc>
            </w:tr>
          </w:tbl>
          <w:p>
            <w:pPr>
              <w:pStyle w:val="100"/>
              <w:spacing w:before="120" w:beforeLines="50"/>
            </w:pPr>
            <w:r>
              <w:t>表</w:t>
            </w:r>
            <w:r>
              <w:rPr>
                <w:rFonts w:hint="eastAsia"/>
              </w:rPr>
              <w:t>4-</w:t>
            </w:r>
            <w:r>
              <w:t>24 项目生产系统危险单元一览表</w:t>
            </w:r>
          </w:p>
          <w:tbl>
            <w:tblPr>
              <w:tblStyle w:val="5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130"/>
              <w:gridCol w:w="1848"/>
              <w:gridCol w:w="1382"/>
              <w:gridCol w:w="2139"/>
              <w:gridCol w:w="11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53" w:type="pct"/>
                  <w:vAlign w:val="center"/>
                </w:tcPr>
                <w:p>
                  <w:pPr>
                    <w:widowControl/>
                    <w:adjustRightInd w:val="0"/>
                    <w:snapToGrid w:val="0"/>
                    <w:jc w:val="center"/>
                    <w:rPr>
                      <w:b/>
                      <w:bCs/>
                      <w:kern w:val="0"/>
                      <w:sz w:val="21"/>
                      <w:szCs w:val="21"/>
                    </w:rPr>
                  </w:pPr>
                  <w:r>
                    <w:rPr>
                      <w:b/>
                      <w:bCs/>
                      <w:kern w:val="0"/>
                      <w:sz w:val="21"/>
                      <w:szCs w:val="21"/>
                    </w:rPr>
                    <w:t>序号</w:t>
                  </w:r>
                </w:p>
              </w:tc>
              <w:tc>
                <w:tcPr>
                  <w:tcW w:w="686" w:type="pct"/>
                  <w:vAlign w:val="center"/>
                </w:tcPr>
                <w:p>
                  <w:pPr>
                    <w:widowControl/>
                    <w:adjustRightInd w:val="0"/>
                    <w:snapToGrid w:val="0"/>
                    <w:jc w:val="center"/>
                    <w:rPr>
                      <w:b/>
                      <w:bCs/>
                      <w:kern w:val="0"/>
                      <w:sz w:val="21"/>
                      <w:szCs w:val="21"/>
                    </w:rPr>
                  </w:pPr>
                  <w:r>
                    <w:rPr>
                      <w:b/>
                      <w:bCs/>
                      <w:kern w:val="0"/>
                      <w:sz w:val="21"/>
                      <w:szCs w:val="21"/>
                    </w:rPr>
                    <w:t>危险单元</w:t>
                  </w:r>
                </w:p>
              </w:tc>
              <w:tc>
                <w:tcPr>
                  <w:tcW w:w="1122" w:type="pct"/>
                  <w:vAlign w:val="center"/>
                </w:tcPr>
                <w:p>
                  <w:pPr>
                    <w:widowControl/>
                    <w:adjustRightInd w:val="0"/>
                    <w:snapToGrid w:val="0"/>
                    <w:jc w:val="center"/>
                    <w:rPr>
                      <w:b/>
                      <w:bCs/>
                      <w:kern w:val="0"/>
                      <w:sz w:val="21"/>
                      <w:szCs w:val="21"/>
                    </w:rPr>
                  </w:pPr>
                  <w:r>
                    <w:rPr>
                      <w:b/>
                      <w:bCs/>
                      <w:kern w:val="0"/>
                      <w:sz w:val="21"/>
                      <w:szCs w:val="21"/>
                    </w:rPr>
                    <w:t>危险物质名称</w:t>
                  </w:r>
                </w:p>
              </w:tc>
              <w:tc>
                <w:tcPr>
                  <w:tcW w:w="839" w:type="pct"/>
                  <w:vAlign w:val="center"/>
                </w:tcPr>
                <w:p>
                  <w:pPr>
                    <w:widowControl/>
                    <w:adjustRightInd w:val="0"/>
                    <w:snapToGrid w:val="0"/>
                    <w:jc w:val="center"/>
                    <w:rPr>
                      <w:b/>
                      <w:bCs/>
                      <w:kern w:val="0"/>
                      <w:sz w:val="21"/>
                      <w:szCs w:val="21"/>
                    </w:rPr>
                  </w:pPr>
                  <w:r>
                    <w:rPr>
                      <w:b/>
                      <w:bCs/>
                      <w:kern w:val="0"/>
                      <w:sz w:val="21"/>
                      <w:szCs w:val="21"/>
                    </w:rPr>
                    <w:t>使用工序</w:t>
                  </w:r>
                </w:p>
              </w:tc>
              <w:tc>
                <w:tcPr>
                  <w:tcW w:w="1299" w:type="pct"/>
                  <w:vAlign w:val="center"/>
                </w:tcPr>
                <w:p>
                  <w:pPr>
                    <w:widowControl/>
                    <w:adjustRightInd w:val="0"/>
                    <w:snapToGrid w:val="0"/>
                    <w:jc w:val="center"/>
                    <w:rPr>
                      <w:b/>
                      <w:bCs/>
                      <w:kern w:val="0"/>
                      <w:sz w:val="21"/>
                      <w:szCs w:val="21"/>
                    </w:rPr>
                  </w:pPr>
                  <w:r>
                    <w:rPr>
                      <w:b/>
                      <w:bCs/>
                      <w:kern w:val="0"/>
                      <w:sz w:val="21"/>
                      <w:szCs w:val="21"/>
                    </w:rPr>
                    <w:t>危险性</w:t>
                  </w:r>
                </w:p>
              </w:tc>
              <w:tc>
                <w:tcPr>
                  <w:tcW w:w="701" w:type="pct"/>
                  <w:vAlign w:val="center"/>
                </w:tcPr>
                <w:p>
                  <w:pPr>
                    <w:widowControl/>
                    <w:adjustRightInd w:val="0"/>
                    <w:snapToGrid w:val="0"/>
                    <w:jc w:val="center"/>
                    <w:rPr>
                      <w:b/>
                      <w:bCs/>
                      <w:kern w:val="0"/>
                      <w:sz w:val="21"/>
                      <w:szCs w:val="21"/>
                    </w:rPr>
                  </w:pPr>
                  <w:r>
                    <w:rPr>
                      <w:b/>
                      <w:bCs/>
                      <w:kern w:val="0"/>
                      <w:sz w:val="21"/>
                      <w:szCs w:val="21"/>
                    </w:rPr>
                    <w:t>触发因素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353" w:type="pct"/>
                  <w:vAlign w:val="center"/>
                </w:tcPr>
                <w:p>
                  <w:pPr>
                    <w:widowControl/>
                    <w:adjustRightInd w:val="0"/>
                    <w:snapToGrid w:val="0"/>
                    <w:jc w:val="center"/>
                    <w:rPr>
                      <w:kern w:val="0"/>
                      <w:sz w:val="21"/>
                      <w:szCs w:val="21"/>
                    </w:rPr>
                  </w:pPr>
                  <w:r>
                    <w:rPr>
                      <w:kern w:val="0"/>
                      <w:sz w:val="21"/>
                      <w:szCs w:val="21"/>
                    </w:rPr>
                    <w:t>1</w:t>
                  </w:r>
                </w:p>
              </w:tc>
              <w:tc>
                <w:tcPr>
                  <w:tcW w:w="686" w:type="pct"/>
                  <w:vAlign w:val="center"/>
                </w:tcPr>
                <w:p>
                  <w:pPr>
                    <w:adjustRightInd w:val="0"/>
                    <w:snapToGrid w:val="0"/>
                    <w:jc w:val="center"/>
                    <w:rPr>
                      <w:kern w:val="0"/>
                      <w:sz w:val="21"/>
                      <w:szCs w:val="21"/>
                    </w:rPr>
                  </w:pPr>
                  <w:r>
                    <w:rPr>
                      <w:kern w:val="0"/>
                      <w:sz w:val="21"/>
                      <w:szCs w:val="21"/>
                    </w:rPr>
                    <w:t>原料区</w:t>
                  </w:r>
                </w:p>
              </w:tc>
              <w:tc>
                <w:tcPr>
                  <w:tcW w:w="1122" w:type="pct"/>
                  <w:vAlign w:val="center"/>
                </w:tcPr>
                <w:p>
                  <w:pPr>
                    <w:widowControl/>
                    <w:adjustRightInd w:val="0"/>
                    <w:snapToGrid w:val="0"/>
                    <w:jc w:val="center"/>
                    <w:rPr>
                      <w:kern w:val="0"/>
                      <w:sz w:val="21"/>
                      <w:szCs w:val="21"/>
                    </w:rPr>
                  </w:pPr>
                  <w:r>
                    <w:rPr>
                      <w:rFonts w:hint="eastAsia"/>
                      <w:sz w:val="21"/>
                      <w:szCs w:val="21"/>
                      <w:lang w:val="de-DE"/>
                    </w:rPr>
                    <w:t>游离甲醛</w:t>
                  </w:r>
                </w:p>
              </w:tc>
              <w:tc>
                <w:tcPr>
                  <w:tcW w:w="839" w:type="pct"/>
                  <w:vAlign w:val="center"/>
                </w:tcPr>
                <w:p>
                  <w:pPr>
                    <w:adjustRightInd w:val="0"/>
                    <w:snapToGrid w:val="0"/>
                    <w:jc w:val="center"/>
                    <w:rPr>
                      <w:kern w:val="0"/>
                      <w:sz w:val="21"/>
                      <w:szCs w:val="21"/>
                    </w:rPr>
                  </w:pPr>
                  <w:r>
                    <w:rPr>
                      <w:kern w:val="0"/>
                      <w:sz w:val="21"/>
                      <w:szCs w:val="21"/>
                    </w:rPr>
                    <w:t>原料及产品存放</w:t>
                  </w:r>
                </w:p>
              </w:tc>
              <w:tc>
                <w:tcPr>
                  <w:tcW w:w="1299" w:type="pct"/>
                  <w:vAlign w:val="center"/>
                </w:tcPr>
                <w:p>
                  <w:pPr>
                    <w:adjustRightInd w:val="0"/>
                    <w:snapToGrid w:val="0"/>
                    <w:jc w:val="center"/>
                    <w:rPr>
                      <w:kern w:val="0"/>
                      <w:sz w:val="21"/>
                      <w:szCs w:val="21"/>
                    </w:rPr>
                  </w:pPr>
                  <w:r>
                    <w:rPr>
                      <w:kern w:val="0"/>
                      <w:sz w:val="21"/>
                      <w:szCs w:val="21"/>
                    </w:rPr>
                    <w:t>火灾后污染大气环境、水环境、土壤环境</w:t>
                  </w:r>
                </w:p>
              </w:tc>
              <w:tc>
                <w:tcPr>
                  <w:tcW w:w="701" w:type="pct"/>
                  <w:vAlign w:val="center"/>
                </w:tcPr>
                <w:p>
                  <w:pPr>
                    <w:adjustRightInd w:val="0"/>
                    <w:snapToGrid w:val="0"/>
                    <w:jc w:val="center"/>
                    <w:rPr>
                      <w:kern w:val="0"/>
                      <w:sz w:val="21"/>
                      <w:szCs w:val="21"/>
                    </w:rPr>
                  </w:pPr>
                  <w:r>
                    <w:rPr>
                      <w:kern w:val="0"/>
                      <w:sz w:val="21"/>
                      <w:szCs w:val="21"/>
                    </w:rPr>
                    <w:t>物料容器破裂或遇火源</w:t>
                  </w:r>
                </w:p>
              </w:tc>
            </w:tr>
          </w:tbl>
          <w:p>
            <w:pPr>
              <w:tabs>
                <w:tab w:val="left" w:pos="1268"/>
              </w:tabs>
              <w:autoSpaceDE w:val="0"/>
              <w:autoSpaceDN w:val="0"/>
              <w:spacing w:line="360" w:lineRule="auto"/>
              <w:ind w:firstLine="400" w:firstLineChars="150"/>
              <w:jc w:val="left"/>
              <w:rPr>
                <w:b/>
                <w:bCs/>
                <w:kern w:val="0"/>
                <w:szCs w:val="22"/>
                <w:lang w:val="zh-CN" w:bidi="zh-CN"/>
              </w:rPr>
            </w:pPr>
            <w:r>
              <w:rPr>
                <w:b/>
                <w:bCs/>
                <w:spacing w:val="13"/>
                <w:kern w:val="0"/>
                <w:szCs w:val="22"/>
                <w:lang w:val="zh-CN" w:bidi="zh-CN"/>
              </w:rPr>
              <w:t>（3）危险物质向环境转移的途径识别</w:t>
            </w:r>
          </w:p>
          <w:p>
            <w:pPr>
              <w:autoSpaceDE w:val="0"/>
              <w:autoSpaceDN w:val="0"/>
              <w:spacing w:line="360" w:lineRule="auto"/>
              <w:ind w:left="110" w:right="28" w:firstLine="480"/>
              <w:jc w:val="left"/>
              <w:rPr>
                <w:kern w:val="0"/>
                <w:szCs w:val="22"/>
                <w:lang w:val="zh-CN" w:bidi="zh-CN"/>
              </w:rPr>
            </w:pPr>
            <w:r>
              <w:rPr>
                <w:kern w:val="0"/>
                <w:szCs w:val="22"/>
                <w:lang w:val="zh-CN" w:bidi="zh-CN"/>
              </w:rPr>
              <w:t>本项目存在危险物质向环境转移的途径主要为</w:t>
            </w:r>
            <w:r>
              <w:rPr>
                <w:rFonts w:hint="eastAsia"/>
                <w:kern w:val="0"/>
                <w:szCs w:val="22"/>
                <w:lang w:val="zh-CN" w:bidi="zh-CN"/>
              </w:rPr>
              <w:t>脲醛树脂胶</w:t>
            </w:r>
            <w:r>
              <w:rPr>
                <w:kern w:val="0"/>
                <w:szCs w:val="22"/>
                <w:lang w:val="zh-CN" w:bidi="zh-CN"/>
              </w:rPr>
              <w:t>泄漏</w:t>
            </w:r>
            <w:r>
              <w:rPr>
                <w:rFonts w:hint="eastAsia"/>
                <w:kern w:val="0"/>
                <w:szCs w:val="22"/>
                <w:lang w:val="zh-CN" w:bidi="zh-CN"/>
              </w:rPr>
              <w:t>产生的游离甲醛</w:t>
            </w:r>
            <w:r>
              <w:rPr>
                <w:kern w:val="0"/>
                <w:szCs w:val="22"/>
                <w:lang w:val="zh-CN" w:bidi="zh-CN"/>
              </w:rPr>
              <w:t>进入环境空气</w:t>
            </w:r>
            <w:r>
              <w:rPr>
                <w:rFonts w:hint="eastAsia"/>
                <w:kern w:val="0"/>
                <w:szCs w:val="22"/>
                <w:lang w:val="zh-CN" w:bidi="zh-CN"/>
              </w:rPr>
              <w:t>、游离甲醛</w:t>
            </w:r>
            <w:r>
              <w:rPr>
                <w:kern w:val="0"/>
                <w:szCs w:val="22"/>
                <w:lang w:val="zh-CN" w:bidi="zh-CN"/>
              </w:rPr>
              <w:t>遇明火发生火灾、爆炸等事故，产生的次生污染向环境中迁移</w:t>
            </w:r>
            <w:r>
              <w:rPr>
                <w:rFonts w:hint="eastAsia"/>
                <w:kern w:val="0"/>
                <w:szCs w:val="22"/>
                <w:lang w:val="zh-CN" w:bidi="zh-CN"/>
              </w:rPr>
              <w:t>。</w:t>
            </w:r>
          </w:p>
          <w:p>
            <w:pPr>
              <w:adjustRightInd w:val="0"/>
              <w:snapToGrid w:val="0"/>
              <w:spacing w:line="360" w:lineRule="auto"/>
              <w:ind w:firstLine="602" w:firstLineChars="250"/>
              <w:rPr>
                <w:b/>
                <w:bCs/>
                <w:color w:val="FF0000"/>
              </w:rPr>
            </w:pPr>
            <w:r>
              <w:rPr>
                <w:b/>
                <w:bCs/>
                <w:color w:val="FF0000"/>
              </w:rPr>
              <w:t>3、环境风险类型</w:t>
            </w:r>
            <w:r>
              <w:rPr>
                <w:b/>
                <w:color w:val="FF0000"/>
                <w:kern w:val="0"/>
                <w:lang w:val="zh-CN" w:bidi="zh-CN"/>
              </w:rPr>
              <w:t xml:space="preserve"> </w:t>
            </w:r>
          </w:p>
          <w:p>
            <w:pPr>
              <w:autoSpaceDE w:val="0"/>
              <w:autoSpaceDN w:val="0"/>
              <w:spacing w:line="360" w:lineRule="auto"/>
              <w:ind w:left="108" w:right="88" w:firstLine="482"/>
              <w:jc w:val="left"/>
              <w:rPr>
                <w:color w:val="FF0000"/>
                <w:kern w:val="0"/>
                <w:szCs w:val="22"/>
                <w:lang w:bidi="zh-CN"/>
              </w:rPr>
            </w:pPr>
            <w:r>
              <w:rPr>
                <w:color w:val="FF0000"/>
                <w:kern w:val="0"/>
                <w:szCs w:val="22"/>
                <w:lang w:bidi="zh-CN"/>
              </w:rPr>
              <w:t>项目环境风险类型为：</w:t>
            </w:r>
          </w:p>
          <w:p>
            <w:pPr>
              <w:autoSpaceDE w:val="0"/>
              <w:autoSpaceDN w:val="0"/>
              <w:spacing w:line="360" w:lineRule="auto"/>
              <w:ind w:left="108" w:right="88" w:firstLine="482"/>
              <w:jc w:val="left"/>
              <w:rPr>
                <w:color w:val="FF0000"/>
                <w:kern w:val="0"/>
                <w:szCs w:val="22"/>
                <w:lang w:bidi="zh-CN"/>
              </w:rPr>
            </w:pPr>
            <w:r>
              <w:rPr>
                <w:rFonts w:hint="eastAsia"/>
                <w:color w:val="FF0000"/>
                <w:kern w:val="0"/>
                <w:szCs w:val="22"/>
                <w:lang w:bidi="zh-CN"/>
              </w:rPr>
              <w:t>①</w:t>
            </w:r>
            <w:r>
              <w:rPr>
                <w:rFonts w:hint="eastAsia"/>
                <w:color w:val="FF0000"/>
                <w:spacing w:val="-6"/>
                <w:kern w:val="0"/>
                <w:szCs w:val="22"/>
                <w:lang w:val="zh-CN" w:bidi="zh-CN"/>
              </w:rPr>
              <w:t>游离甲醛遇明火引起的火灾事故</w:t>
            </w:r>
            <w:r>
              <w:rPr>
                <w:color w:val="FF0000"/>
                <w:kern w:val="0"/>
                <w:szCs w:val="22"/>
                <w:lang w:bidi="zh-CN"/>
              </w:rPr>
              <w:t>；</w:t>
            </w:r>
          </w:p>
          <w:p>
            <w:pPr>
              <w:autoSpaceDE w:val="0"/>
              <w:autoSpaceDN w:val="0"/>
              <w:spacing w:line="360" w:lineRule="auto"/>
              <w:ind w:left="108" w:right="88" w:firstLine="482"/>
              <w:jc w:val="left"/>
              <w:rPr>
                <w:color w:val="FF0000"/>
                <w:kern w:val="0"/>
                <w:szCs w:val="22"/>
                <w:lang w:bidi="zh-CN"/>
              </w:rPr>
            </w:pPr>
            <w:r>
              <w:rPr>
                <w:rFonts w:hint="eastAsia"/>
                <w:color w:val="FF0000"/>
                <w:kern w:val="0"/>
                <w:szCs w:val="22"/>
                <w:lang w:bidi="zh-CN"/>
              </w:rPr>
              <w:t>②</w:t>
            </w:r>
            <w:r>
              <w:rPr>
                <w:color w:val="FF0000"/>
                <w:kern w:val="0"/>
                <w:szCs w:val="22"/>
                <w:lang w:bidi="zh-CN"/>
              </w:rPr>
              <w:t>废气、废水处理设施故障导致废气废水非正常排放污染周围区域水体产生环境污染事件；</w:t>
            </w:r>
          </w:p>
          <w:p>
            <w:pPr>
              <w:autoSpaceDE w:val="0"/>
              <w:autoSpaceDN w:val="0"/>
              <w:spacing w:line="360" w:lineRule="auto"/>
              <w:ind w:left="590"/>
              <w:jc w:val="left"/>
              <w:rPr>
                <w:b/>
                <w:bCs/>
                <w:color w:val="FF0000"/>
              </w:rPr>
            </w:pPr>
            <w:r>
              <w:rPr>
                <w:b/>
                <w:bCs/>
                <w:color w:val="FF0000"/>
              </w:rPr>
              <w:t>4、</w:t>
            </w:r>
            <w:r>
              <w:rPr>
                <w:rFonts w:hint="eastAsia"/>
                <w:b/>
                <w:bCs/>
                <w:color w:val="FF0000"/>
              </w:rPr>
              <w:t>环境风险防控措施</w:t>
            </w:r>
          </w:p>
          <w:p>
            <w:pPr>
              <w:tabs>
                <w:tab w:val="left" w:pos="1196"/>
              </w:tabs>
              <w:autoSpaceDE w:val="0"/>
              <w:autoSpaceDN w:val="0"/>
              <w:spacing w:line="360" w:lineRule="auto"/>
              <w:ind w:right="45" w:firstLine="478" w:firstLineChars="200"/>
              <w:jc w:val="left"/>
              <w:rPr>
                <w:b/>
                <w:color w:val="FF0000"/>
                <w:spacing w:val="-1"/>
                <w:kern w:val="0"/>
                <w:szCs w:val="22"/>
                <w:lang w:bidi="zh-CN"/>
              </w:rPr>
            </w:pPr>
            <w:r>
              <w:rPr>
                <w:rFonts w:hint="eastAsia"/>
                <w:b/>
                <w:color w:val="FF0000"/>
                <w:spacing w:val="-1"/>
                <w:kern w:val="0"/>
                <w:szCs w:val="22"/>
                <w:lang w:bidi="zh-CN"/>
              </w:rPr>
              <w:t>（1）游离甲醛火灾事故</w:t>
            </w:r>
          </w:p>
          <w:p>
            <w:pPr>
              <w:tabs>
                <w:tab w:val="left" w:pos="1196"/>
              </w:tabs>
              <w:autoSpaceDE w:val="0"/>
              <w:autoSpaceDN w:val="0"/>
              <w:spacing w:line="360" w:lineRule="auto"/>
              <w:ind w:right="45" w:firstLine="478" w:firstLineChars="200"/>
              <w:jc w:val="left"/>
              <w:rPr>
                <w:b/>
                <w:color w:val="FF0000"/>
                <w:spacing w:val="-1"/>
                <w:kern w:val="0"/>
                <w:szCs w:val="22"/>
                <w:lang w:bidi="zh-CN"/>
              </w:rPr>
            </w:pPr>
            <w:r>
              <w:rPr>
                <w:rFonts w:hint="eastAsia"/>
                <w:b/>
                <w:color w:val="FF0000"/>
                <w:spacing w:val="-1"/>
                <w:kern w:val="0"/>
                <w:szCs w:val="22"/>
                <w:lang w:bidi="zh-CN"/>
              </w:rPr>
              <w:t>甲醛</w:t>
            </w:r>
            <w:r>
              <w:rPr>
                <w:b/>
                <w:color w:val="FF0000"/>
                <w:spacing w:val="-1"/>
                <w:kern w:val="0"/>
                <w:szCs w:val="22"/>
                <w:lang w:bidi="zh-CN"/>
              </w:rPr>
              <w:t>火灾分析</w:t>
            </w:r>
          </w:p>
          <w:p>
            <w:pPr>
              <w:tabs>
                <w:tab w:val="left" w:pos="1196"/>
              </w:tabs>
              <w:autoSpaceDE w:val="0"/>
              <w:autoSpaceDN w:val="0"/>
              <w:spacing w:line="360" w:lineRule="auto"/>
              <w:ind w:right="45" w:firstLine="476" w:firstLineChars="200"/>
              <w:jc w:val="left"/>
              <w:rPr>
                <w:color w:val="FF0000"/>
                <w:spacing w:val="-1"/>
                <w:kern w:val="0"/>
                <w:szCs w:val="22"/>
                <w:lang w:bidi="zh-CN"/>
              </w:rPr>
            </w:pPr>
            <w:r>
              <w:rPr>
                <w:rFonts w:hint="eastAsia"/>
                <w:color w:val="FF0000"/>
                <w:spacing w:val="-1"/>
                <w:kern w:val="0"/>
                <w:szCs w:val="22"/>
                <w:lang w:bidi="zh-CN"/>
              </w:rPr>
              <w:t>游离甲醛遇明火、氧化物会发生火灾爆炸事故</w:t>
            </w:r>
            <w:r>
              <w:rPr>
                <w:color w:val="FF0000"/>
                <w:spacing w:val="-1"/>
                <w:kern w:val="0"/>
                <w:szCs w:val="22"/>
                <w:lang w:bidi="zh-CN"/>
              </w:rPr>
              <w:t>，对周边环境及人群造成影响；在火灾救援过程中产生的消防废水，若处理不善，也可能会通过雨水总排口等部分溢流出厂界，对周边水环境造成影响。</w:t>
            </w:r>
          </w:p>
          <w:p>
            <w:pPr>
              <w:tabs>
                <w:tab w:val="left" w:pos="1196"/>
              </w:tabs>
              <w:autoSpaceDE w:val="0"/>
              <w:autoSpaceDN w:val="0"/>
              <w:spacing w:line="360" w:lineRule="auto"/>
              <w:ind w:right="45" w:firstLine="478" w:firstLineChars="200"/>
              <w:jc w:val="left"/>
              <w:rPr>
                <w:b/>
                <w:color w:val="FF0000"/>
                <w:spacing w:val="-1"/>
                <w:kern w:val="0"/>
                <w:szCs w:val="22"/>
                <w:lang w:bidi="zh-CN"/>
              </w:rPr>
            </w:pPr>
            <w:r>
              <w:rPr>
                <w:b/>
                <w:color w:val="FF0000"/>
                <w:spacing w:val="-1"/>
                <w:kern w:val="0"/>
                <w:szCs w:val="22"/>
                <w:lang w:bidi="zh-CN"/>
              </w:rPr>
              <w:t>防控及处置措施：</w:t>
            </w:r>
          </w:p>
          <w:p>
            <w:pPr>
              <w:tabs>
                <w:tab w:val="left" w:pos="1196"/>
              </w:tabs>
              <w:autoSpaceDE w:val="0"/>
              <w:autoSpaceDN w:val="0"/>
              <w:spacing w:line="360" w:lineRule="auto"/>
              <w:ind w:right="45" w:firstLine="476" w:firstLineChars="200"/>
              <w:jc w:val="left"/>
              <w:rPr>
                <w:color w:val="FF0000"/>
                <w:spacing w:val="-1"/>
                <w:kern w:val="0"/>
                <w:szCs w:val="22"/>
                <w:lang w:bidi="zh-CN"/>
              </w:rPr>
            </w:pPr>
            <w:r>
              <w:rPr>
                <w:rFonts w:hint="eastAsia"/>
                <w:color w:val="FF0000"/>
                <w:spacing w:val="-1"/>
                <w:kern w:val="0"/>
                <w:szCs w:val="22"/>
                <w:lang w:bidi="zh-CN"/>
              </w:rPr>
              <w:t>加强厂区通风，储存区严禁烟火，防止火灾事故的发生；厂区设置消防栓、灭火器、消防砂等应急救援物资，一旦发生火灾事故，可及时扑灭火灾；严格防渗，周边设置导排管道，可将废水收集在厂区内</w:t>
            </w:r>
            <w:r>
              <w:rPr>
                <w:color w:val="FF0000"/>
                <w:spacing w:val="-1"/>
                <w:kern w:val="0"/>
                <w:szCs w:val="22"/>
                <w:lang w:bidi="zh-CN"/>
              </w:rPr>
              <w:t>。</w:t>
            </w:r>
          </w:p>
          <w:p>
            <w:pPr>
              <w:tabs>
                <w:tab w:val="left" w:pos="1196"/>
              </w:tabs>
              <w:autoSpaceDE w:val="0"/>
              <w:autoSpaceDN w:val="0"/>
              <w:spacing w:line="360" w:lineRule="auto"/>
              <w:ind w:right="45" w:firstLine="478" w:firstLineChars="200"/>
              <w:jc w:val="left"/>
              <w:rPr>
                <w:b/>
                <w:bCs/>
                <w:color w:val="FF0000"/>
                <w:spacing w:val="-1"/>
                <w:kern w:val="0"/>
                <w:szCs w:val="22"/>
                <w:lang w:bidi="zh-CN"/>
              </w:rPr>
            </w:pPr>
            <w:r>
              <w:rPr>
                <w:rFonts w:hint="eastAsia"/>
                <w:b/>
                <w:bCs/>
                <w:color w:val="FF0000"/>
                <w:spacing w:val="-1"/>
                <w:kern w:val="0"/>
                <w:szCs w:val="22"/>
                <w:lang w:bidi="zh-CN"/>
              </w:rPr>
              <w:t>（2）环保设施风险防控措施</w:t>
            </w:r>
          </w:p>
          <w:p>
            <w:pPr>
              <w:tabs>
                <w:tab w:val="left" w:pos="1196"/>
              </w:tabs>
              <w:autoSpaceDE w:val="0"/>
              <w:autoSpaceDN w:val="0"/>
              <w:spacing w:line="360" w:lineRule="auto"/>
              <w:ind w:right="45" w:firstLine="476" w:firstLineChars="200"/>
              <w:jc w:val="left"/>
              <w:rPr>
                <w:color w:val="FF0000"/>
                <w:spacing w:val="-1"/>
                <w:kern w:val="0"/>
                <w:szCs w:val="22"/>
                <w:lang w:bidi="zh-CN"/>
              </w:rPr>
            </w:pPr>
            <w:r>
              <w:rPr>
                <w:color w:val="FF0000"/>
                <w:spacing w:val="-1"/>
                <w:kern w:val="0"/>
                <w:szCs w:val="22"/>
                <w:lang w:bidi="zh-CN"/>
              </w:rPr>
              <w:t>厂区废气处理装置运行可靠稳定，只要加强管理和运行维护，废气去除效率完全可以得到保证。造成生产废气直排的原因是由于</w:t>
            </w:r>
            <w:r>
              <w:rPr>
                <w:rFonts w:hint="eastAsia"/>
                <w:color w:val="FF0000"/>
                <w:spacing w:val="-1"/>
                <w:kern w:val="0"/>
                <w:szCs w:val="22"/>
                <w:lang w:bidi="zh-CN"/>
              </w:rPr>
              <w:t>废气处理</w:t>
            </w:r>
            <w:r>
              <w:rPr>
                <w:color w:val="FF0000"/>
                <w:spacing w:val="-1"/>
                <w:kern w:val="0"/>
                <w:szCs w:val="22"/>
                <w:lang w:bidi="zh-CN"/>
              </w:rPr>
              <w:t>设施故障，影响废气去除效果。可以通过暂时停止生产，减少废气的产生量，可降低对周围环境的影响，并立即检修设备设施，迅速有效的排除故障。</w:t>
            </w:r>
          </w:p>
          <w:p>
            <w:pPr>
              <w:spacing w:line="360" w:lineRule="auto"/>
              <w:ind w:firstLine="482" w:firstLineChars="200"/>
              <w:rPr>
                <w:b/>
                <w:bCs/>
                <w:color w:val="FF0000"/>
              </w:rPr>
            </w:pPr>
            <w:r>
              <w:rPr>
                <w:rFonts w:hint="eastAsia"/>
                <w:b/>
                <w:bCs/>
                <w:color w:val="FF0000"/>
              </w:rPr>
              <w:t>5</w:t>
            </w:r>
            <w:r>
              <w:rPr>
                <w:b/>
                <w:bCs/>
                <w:color w:val="FF0000"/>
              </w:rPr>
              <w:t>、应急预案</w:t>
            </w:r>
          </w:p>
          <w:p>
            <w:pPr>
              <w:keepNext/>
              <w:keepLines/>
              <w:numPr>
                <w:ilvl w:val="2"/>
                <w:numId w:val="0"/>
              </w:numPr>
              <w:tabs>
                <w:tab w:val="left" w:pos="766"/>
              </w:tabs>
              <w:spacing w:line="360" w:lineRule="auto"/>
              <w:ind w:firstLine="480" w:firstLineChars="200"/>
              <w:outlineLvl w:val="2"/>
              <w:rPr>
                <w:bCs/>
                <w:color w:val="FF0000"/>
              </w:rPr>
            </w:pPr>
            <w:r>
              <w:rPr>
                <w:rFonts w:hint="eastAsia" w:ascii="宋体" w:hAnsi="宋体" w:cs="宋体"/>
                <w:bCs/>
                <w:color w:val="FF0000"/>
              </w:rPr>
              <w:t>①</w:t>
            </w:r>
            <w:r>
              <w:rPr>
                <w:rFonts w:hint="eastAsia"/>
                <w:bCs/>
                <w:color w:val="FF0000"/>
              </w:rPr>
              <w:t>游离甲醛泄露</w:t>
            </w:r>
          </w:p>
          <w:p>
            <w:pPr>
              <w:keepNext/>
              <w:keepLines/>
              <w:numPr>
                <w:ilvl w:val="2"/>
                <w:numId w:val="0"/>
              </w:numPr>
              <w:tabs>
                <w:tab w:val="left" w:pos="766"/>
              </w:tabs>
              <w:spacing w:line="360" w:lineRule="auto"/>
              <w:ind w:firstLine="480" w:firstLineChars="200"/>
              <w:outlineLvl w:val="2"/>
              <w:rPr>
                <w:bCs/>
                <w:color w:val="FF0000"/>
              </w:rPr>
            </w:pPr>
            <w:r>
              <w:rPr>
                <w:bCs/>
                <w:color w:val="FF0000"/>
              </w:rPr>
              <w:t>切断泄漏源及电源。应急处理人员戴自给正压式呼吸器，穿防静电工作服进入泄漏区，检查泄漏源，尽可能切断泄漏源，减少泄漏量。避免泄漏物与明火接触。如有可能，将漏出气用排风机送至空旷地方。</w:t>
            </w:r>
          </w:p>
          <w:p>
            <w:pPr>
              <w:keepNext/>
              <w:keepLines/>
              <w:numPr>
                <w:ilvl w:val="2"/>
                <w:numId w:val="0"/>
              </w:numPr>
              <w:tabs>
                <w:tab w:val="left" w:pos="766"/>
              </w:tabs>
              <w:spacing w:line="360" w:lineRule="auto"/>
              <w:ind w:firstLine="480" w:firstLineChars="200"/>
              <w:outlineLvl w:val="2"/>
              <w:rPr>
                <w:bCs/>
                <w:color w:val="FF0000"/>
              </w:rPr>
            </w:pPr>
            <w:r>
              <w:rPr>
                <w:rFonts w:hint="eastAsia" w:ascii="宋体" w:hAnsi="宋体" w:cs="宋体"/>
                <w:bCs/>
                <w:color w:val="FF0000"/>
              </w:rPr>
              <w:t>②</w:t>
            </w:r>
            <w:r>
              <w:rPr>
                <w:bCs/>
                <w:color w:val="FF0000"/>
              </w:rPr>
              <w:t>火灾</w:t>
            </w:r>
          </w:p>
          <w:p>
            <w:pPr>
              <w:keepNext/>
              <w:keepLines/>
              <w:numPr>
                <w:ilvl w:val="2"/>
                <w:numId w:val="0"/>
              </w:numPr>
              <w:tabs>
                <w:tab w:val="left" w:pos="766"/>
              </w:tabs>
              <w:spacing w:line="360" w:lineRule="auto"/>
              <w:ind w:firstLine="480" w:firstLineChars="200"/>
              <w:outlineLvl w:val="2"/>
              <w:rPr>
                <w:bCs/>
                <w:color w:val="FF0000"/>
              </w:rPr>
            </w:pPr>
            <w:r>
              <w:rPr>
                <w:bCs/>
                <w:color w:val="FF0000"/>
              </w:rPr>
              <w:t>当发生火灾时，如果火势较小，发现人员立即用附近的灭火器进行灭火处理，并大声呼喊通知邻近同伴。如火势无法控制或火灾范围扩大，场区应立即停止所有作业，有序疏散人员，切断总电源，封闭进出口，设置警戒带，迅速上报公司领导，同时向属地公安、消防及生态环境局上报。应急处理队员穿戴好防护用品利用现有消防器材进行扑救，尽力控制火势蔓延，并派专人引导消防车到现场灭火。</w:t>
            </w:r>
          </w:p>
          <w:p>
            <w:pPr>
              <w:keepNext/>
              <w:keepLines/>
              <w:numPr>
                <w:ilvl w:val="2"/>
                <w:numId w:val="0"/>
              </w:numPr>
              <w:tabs>
                <w:tab w:val="left" w:pos="766"/>
              </w:tabs>
              <w:spacing w:line="360" w:lineRule="auto"/>
              <w:ind w:firstLine="480" w:firstLineChars="200"/>
              <w:outlineLvl w:val="2"/>
              <w:rPr>
                <w:bCs/>
                <w:color w:val="FF0000"/>
              </w:rPr>
            </w:pPr>
            <w:r>
              <w:rPr>
                <w:rFonts w:hint="eastAsia" w:ascii="宋体" w:hAnsi="宋体" w:cs="宋体"/>
                <w:bCs/>
                <w:color w:val="FF0000"/>
              </w:rPr>
              <w:t>③</w:t>
            </w:r>
            <w:r>
              <w:rPr>
                <w:bCs/>
                <w:color w:val="FF0000"/>
              </w:rPr>
              <w:t>环保设施故障</w:t>
            </w:r>
          </w:p>
          <w:p>
            <w:pPr>
              <w:keepNext/>
              <w:keepLines/>
              <w:numPr>
                <w:ilvl w:val="2"/>
                <w:numId w:val="0"/>
              </w:numPr>
              <w:tabs>
                <w:tab w:val="left" w:pos="766"/>
              </w:tabs>
              <w:spacing w:line="360" w:lineRule="auto"/>
              <w:ind w:firstLine="480" w:firstLineChars="200"/>
              <w:outlineLvl w:val="2"/>
              <w:rPr>
                <w:bCs/>
                <w:color w:val="FF0000"/>
              </w:rPr>
            </w:pPr>
            <w:r>
              <w:rPr>
                <w:bCs/>
                <w:color w:val="FF0000"/>
              </w:rPr>
              <w:t>通过暂时停止生产，减少废气的产生量，可降低对周围环境的影响，并立即检修设备设施，迅速有效的排除故障。</w:t>
            </w:r>
          </w:p>
          <w:p>
            <w:pPr>
              <w:keepNext/>
              <w:keepLines/>
              <w:numPr>
                <w:ilvl w:val="2"/>
                <w:numId w:val="0"/>
              </w:numPr>
              <w:tabs>
                <w:tab w:val="left" w:pos="766"/>
              </w:tabs>
              <w:spacing w:line="360" w:lineRule="auto"/>
              <w:ind w:firstLine="480" w:firstLineChars="200"/>
              <w:outlineLvl w:val="2"/>
              <w:rPr>
                <w:bCs/>
                <w:color w:val="FF0000"/>
              </w:rPr>
            </w:pPr>
            <w:r>
              <w:rPr>
                <w:rFonts w:hint="eastAsia" w:ascii="宋体" w:hAnsi="宋体" w:cs="宋体"/>
                <w:bCs/>
                <w:color w:val="FF0000"/>
              </w:rPr>
              <w:t>④</w:t>
            </w:r>
            <w:r>
              <w:rPr>
                <w:bCs/>
                <w:color w:val="FF0000"/>
              </w:rPr>
              <w:t>救援</w:t>
            </w:r>
          </w:p>
          <w:p>
            <w:pPr>
              <w:keepNext/>
              <w:keepLines/>
              <w:numPr>
                <w:ilvl w:val="2"/>
                <w:numId w:val="0"/>
              </w:numPr>
              <w:tabs>
                <w:tab w:val="left" w:pos="766"/>
              </w:tabs>
              <w:spacing w:line="360" w:lineRule="auto"/>
              <w:ind w:firstLine="480" w:firstLineChars="200"/>
              <w:outlineLvl w:val="2"/>
              <w:rPr>
                <w:bCs/>
                <w:color w:val="FF0000"/>
              </w:rPr>
            </w:pPr>
            <w:r>
              <w:rPr>
                <w:bCs/>
                <w:color w:val="FF0000"/>
              </w:rPr>
              <w:t>救援防护：救援人员进入现场后，配带好空气呼吸器等防护用品进入事故现场，查明有无中毒人员，以最快的速度将其送离现场。设立警戒区：救援指挥小组要在事故发生时及时确定上风向并通知所有在场人员，救护人员和伤者及现场无关人员按安全路线向上风向撤离至安全距离外。在安全距离内小组要及时设立警戒标志或警戒线，防止无关人员擅自进入危险区。</w:t>
            </w:r>
          </w:p>
          <w:p>
            <w:pPr>
              <w:keepNext/>
              <w:keepLines/>
              <w:numPr>
                <w:ilvl w:val="2"/>
                <w:numId w:val="0"/>
              </w:numPr>
              <w:tabs>
                <w:tab w:val="left" w:pos="766"/>
              </w:tabs>
              <w:spacing w:line="360" w:lineRule="auto"/>
              <w:ind w:firstLine="480" w:firstLineChars="200"/>
              <w:outlineLvl w:val="2"/>
              <w:rPr>
                <w:bCs/>
                <w:color w:val="FF0000"/>
              </w:rPr>
            </w:pPr>
            <w:r>
              <w:rPr>
                <w:rFonts w:hint="eastAsia" w:ascii="宋体" w:hAnsi="宋体" w:cs="宋体"/>
                <w:bCs/>
                <w:color w:val="FF0000"/>
              </w:rPr>
              <w:t>⑤</w:t>
            </w:r>
            <w:r>
              <w:rPr>
                <w:bCs/>
                <w:color w:val="FF0000"/>
              </w:rPr>
              <w:t>善后</w:t>
            </w:r>
          </w:p>
          <w:p>
            <w:pPr>
              <w:keepNext/>
              <w:keepLines/>
              <w:numPr>
                <w:ilvl w:val="2"/>
                <w:numId w:val="0"/>
              </w:numPr>
              <w:tabs>
                <w:tab w:val="left" w:pos="766"/>
              </w:tabs>
              <w:spacing w:line="360" w:lineRule="auto"/>
              <w:ind w:firstLine="480" w:firstLineChars="200"/>
              <w:outlineLvl w:val="2"/>
              <w:rPr>
                <w:b/>
                <w:color w:val="FF0000"/>
                <w:spacing w:val="6"/>
              </w:rPr>
            </w:pPr>
            <w:r>
              <w:rPr>
                <w:bCs/>
                <w:color w:val="FF0000"/>
              </w:rPr>
              <w:t>当事故得到控制，应尽核查事故对周围环境造成的影响以及经济损失，组织抢修队伍，确定抢修方案，尽快实施。并对事故原因进行调查，若为人为纵火，追究相关人员的法律责任。</w:t>
            </w:r>
          </w:p>
          <w:p>
            <w:pPr>
              <w:adjustRightInd w:val="0"/>
              <w:snapToGrid w:val="0"/>
              <w:spacing w:line="360" w:lineRule="auto"/>
              <w:ind w:firstLine="482" w:firstLineChars="200"/>
              <w:rPr>
                <w:b/>
                <w:bCs/>
                <w:color w:val="FF0000"/>
                <w:kern w:val="0"/>
                <w:szCs w:val="20"/>
              </w:rPr>
            </w:pPr>
            <w:r>
              <w:rPr>
                <w:rFonts w:hint="eastAsia"/>
                <w:b/>
                <w:bCs/>
                <w:color w:val="FF0000"/>
                <w:kern w:val="0"/>
                <w:szCs w:val="20"/>
              </w:rPr>
              <w:t>6、环境风险评价结论</w:t>
            </w:r>
          </w:p>
          <w:p>
            <w:pPr>
              <w:adjustRightInd w:val="0"/>
              <w:snapToGrid w:val="0"/>
              <w:spacing w:line="360" w:lineRule="auto"/>
              <w:ind w:firstLine="480" w:firstLineChars="200"/>
              <w:rPr>
                <w:bCs/>
                <w:color w:val="FF0000"/>
              </w:rPr>
            </w:pPr>
            <w:r>
              <w:rPr>
                <w:color w:val="FF0000"/>
              </w:rPr>
              <w:t>通过以上环境风险分析，项目主要事故风险类型为</w:t>
            </w:r>
            <w:r>
              <w:rPr>
                <w:rFonts w:hint="eastAsia"/>
                <w:color w:val="FF0000"/>
              </w:rPr>
              <w:t>游离甲醛</w:t>
            </w:r>
            <w:r>
              <w:rPr>
                <w:color w:val="FF0000"/>
              </w:rPr>
              <w:t>泄漏</w:t>
            </w:r>
            <w:r>
              <w:rPr>
                <w:rFonts w:hint="eastAsia"/>
                <w:color w:val="FF0000"/>
              </w:rPr>
              <w:t>、</w:t>
            </w:r>
            <w:r>
              <w:rPr>
                <w:color w:val="FF0000"/>
              </w:rPr>
              <w:t>火灾及引发的伴生/次生污染物（SO</w:t>
            </w:r>
            <w:r>
              <w:rPr>
                <w:color w:val="FF0000"/>
                <w:vertAlign w:val="subscript"/>
              </w:rPr>
              <w:t>2</w:t>
            </w:r>
            <w:r>
              <w:rPr>
                <w:color w:val="FF0000"/>
              </w:rPr>
              <w:t>、CO等）</w:t>
            </w:r>
            <w:r>
              <w:rPr>
                <w:rFonts w:hint="eastAsia"/>
                <w:color w:val="FF0000"/>
              </w:rPr>
              <w:t>、</w:t>
            </w:r>
            <w:r>
              <w:rPr>
                <w:color w:val="FF0000"/>
              </w:rPr>
              <w:t>废气治理设施非正常工况运行。在建设单位严格落实环评提出的各项防范措施和应急预案后，其环境风险可防可控，在以此为前提的情况下，可将事故风险概率和影响程度降至可接受水平，项目建设是可行的。</w:t>
            </w:r>
          </w:p>
          <w:p>
            <w:pPr>
              <w:adjustRightInd w:val="0"/>
              <w:snapToGrid w:val="0"/>
              <w:spacing w:line="360" w:lineRule="auto"/>
              <w:ind w:firstLine="482" w:firstLineChars="200"/>
              <w:rPr>
                <w:b/>
                <w:bCs/>
                <w:kern w:val="0"/>
                <w:szCs w:val="20"/>
              </w:rPr>
            </w:pPr>
            <w:r>
              <w:rPr>
                <w:rFonts w:hint="eastAsia"/>
                <w:b/>
                <w:bCs/>
                <w:kern w:val="0"/>
                <w:szCs w:val="20"/>
              </w:rPr>
              <w:t>八</w:t>
            </w:r>
            <w:r>
              <w:rPr>
                <w:b/>
                <w:bCs/>
                <w:kern w:val="0"/>
                <w:szCs w:val="20"/>
              </w:rPr>
              <w:t>、总量控制</w:t>
            </w:r>
          </w:p>
          <w:p>
            <w:pPr>
              <w:adjustRightInd w:val="0"/>
              <w:spacing w:line="360" w:lineRule="auto"/>
              <w:ind w:firstLine="480" w:firstLineChars="200"/>
              <w:rPr>
                <w:bCs/>
              </w:rPr>
            </w:pPr>
            <w:r>
              <w:rPr>
                <w:bCs/>
              </w:rPr>
              <w:t>项目污染物产生量为</w:t>
            </w:r>
            <w:r>
              <w:rPr>
                <w:rFonts w:hint="eastAsia"/>
                <w:bCs/>
              </w:rPr>
              <w:t>颗粒物</w:t>
            </w:r>
            <w:r>
              <w:rPr>
                <w:bCs/>
              </w:rPr>
              <w:t xml:space="preserve"> 4</w:t>
            </w:r>
            <w:r>
              <w:rPr>
                <w:rFonts w:hint="eastAsia"/>
                <w:bCs/>
              </w:rPr>
              <w:t>.</w:t>
            </w:r>
            <w:r>
              <w:rPr>
                <w:bCs/>
              </w:rPr>
              <w:t>1212</w:t>
            </w:r>
            <w:r>
              <w:rPr>
                <w:rFonts w:hint="eastAsia"/>
                <w:bCs/>
              </w:rPr>
              <w:t>t</w:t>
            </w:r>
            <w:r>
              <w:rPr>
                <w:bCs/>
              </w:rPr>
              <w:t>/a</w:t>
            </w:r>
            <w:r>
              <w:rPr>
                <w:rFonts w:hint="eastAsia"/>
                <w:bCs/>
              </w:rPr>
              <w:t>；VOCs</w:t>
            </w:r>
            <w:r>
              <w:rPr>
                <w:bCs/>
              </w:rPr>
              <w:t xml:space="preserve"> 0</w:t>
            </w:r>
            <w:r>
              <w:rPr>
                <w:rFonts w:hint="eastAsia"/>
                <w:bCs/>
              </w:rPr>
              <w:t>.</w:t>
            </w:r>
            <w:r>
              <w:rPr>
                <w:bCs/>
              </w:rPr>
              <w:t>6874t/a</w:t>
            </w:r>
            <w:r>
              <w:rPr>
                <w:rFonts w:hint="eastAsia"/>
                <w:bCs/>
              </w:rPr>
              <w:t>；</w:t>
            </w:r>
            <w:r>
              <w:rPr>
                <w:bCs/>
              </w:rPr>
              <w:t>本项目</w:t>
            </w:r>
            <w:r>
              <w:rPr>
                <w:rFonts w:hint="eastAsia"/>
                <w:bCs/>
              </w:rPr>
              <w:t>颗粒物、VOCs</w:t>
            </w:r>
            <w:r>
              <w:rPr>
                <w:bCs/>
              </w:rPr>
              <w:t>需执行2倍量替代原则，替代量为</w:t>
            </w:r>
            <w:r>
              <w:rPr>
                <w:rFonts w:hint="eastAsia"/>
                <w:bCs/>
              </w:rPr>
              <w:t>颗粒物</w:t>
            </w:r>
            <w:r>
              <w:rPr>
                <w:bCs/>
              </w:rPr>
              <w:t>8</w:t>
            </w:r>
            <w:r>
              <w:rPr>
                <w:rFonts w:hint="eastAsia"/>
                <w:bCs/>
              </w:rPr>
              <w:t>.</w:t>
            </w:r>
            <w:r>
              <w:rPr>
                <w:bCs/>
              </w:rPr>
              <w:t>2424</w:t>
            </w:r>
            <w:r>
              <w:rPr>
                <w:rFonts w:hint="eastAsia"/>
                <w:bCs/>
              </w:rPr>
              <w:t>t</w:t>
            </w:r>
            <w:r>
              <w:rPr>
                <w:bCs/>
              </w:rPr>
              <w:t>/a</w:t>
            </w:r>
            <w:r>
              <w:rPr>
                <w:rFonts w:hint="eastAsia"/>
                <w:bCs/>
              </w:rPr>
              <w:t>；VOCs</w:t>
            </w:r>
            <w:r>
              <w:rPr>
                <w:bCs/>
              </w:rPr>
              <w:t xml:space="preserve"> 1</w:t>
            </w:r>
            <w:r>
              <w:rPr>
                <w:rFonts w:hint="eastAsia"/>
                <w:bCs/>
              </w:rPr>
              <w:t>.</w:t>
            </w:r>
            <w:r>
              <w:rPr>
                <w:bCs/>
              </w:rPr>
              <w:t>3748t/a</w:t>
            </w:r>
            <w:r>
              <w:rPr>
                <w:rFonts w:hint="eastAsia"/>
                <w:bCs/>
              </w:rPr>
              <w:t>。</w:t>
            </w:r>
          </w:p>
          <w:p>
            <w:pPr>
              <w:adjustRightInd w:val="0"/>
              <w:spacing w:line="360" w:lineRule="auto"/>
              <w:ind w:firstLine="480" w:firstLineChars="200"/>
            </w:pPr>
            <w:r>
              <w:rPr>
                <w:rFonts w:hint="eastAsia"/>
                <w:bCs/>
              </w:rPr>
              <w:t>倍量替代来源</w:t>
            </w:r>
            <w:r>
              <w:rPr>
                <w:bCs/>
              </w:rPr>
              <w:t>通过所在区域内</w:t>
            </w:r>
            <w:r>
              <w:rPr>
                <w:rFonts w:hint="eastAsia"/>
                <w:bCs/>
              </w:rPr>
              <w:t>关停企业减排量中进行调剂。</w:t>
            </w:r>
          </w:p>
          <w:p>
            <w:pPr>
              <w:spacing w:line="360" w:lineRule="auto"/>
              <w:ind w:firstLine="472" w:firstLineChars="196"/>
              <w:rPr>
                <w:b/>
                <w:lang w:val="en-GB" w:eastAsia="zh-TW"/>
              </w:rPr>
            </w:pPr>
            <w:r>
              <w:rPr>
                <w:rFonts w:hint="eastAsia"/>
                <w:b/>
                <w:lang w:val="en-GB"/>
              </w:rPr>
              <w:t>九</w:t>
            </w:r>
            <w:r>
              <w:rPr>
                <w:b/>
                <w:lang w:val="en-GB"/>
              </w:rPr>
              <w:t>、</w:t>
            </w:r>
            <w:r>
              <w:rPr>
                <w:b/>
                <w:lang w:val="en-GB" w:eastAsia="zh-TW"/>
              </w:rPr>
              <w:t>环保投资</w:t>
            </w:r>
          </w:p>
          <w:p>
            <w:pPr>
              <w:snapToGrid w:val="0"/>
              <w:spacing w:line="360" w:lineRule="auto"/>
              <w:ind w:firstLine="480" w:firstLineChars="200"/>
              <w:rPr>
                <w:lang w:val="en-GB"/>
              </w:rPr>
            </w:pPr>
            <w:r>
              <w:rPr>
                <w:lang w:val="en-GB"/>
              </w:rPr>
              <w:t>项目环保投资情况见表</w:t>
            </w:r>
            <w:r>
              <w:rPr>
                <w:rFonts w:hint="eastAsia"/>
                <w:lang w:val="en-GB"/>
              </w:rPr>
              <w:t>4-2</w:t>
            </w:r>
            <w:r>
              <w:rPr>
                <w:lang w:val="en-GB"/>
              </w:rPr>
              <w:t>5。</w:t>
            </w:r>
          </w:p>
          <w:p>
            <w:pPr>
              <w:pStyle w:val="100"/>
            </w:pPr>
            <w:r>
              <w:t>表</w:t>
            </w:r>
            <w:r>
              <w:rPr>
                <w:rFonts w:hint="eastAsia"/>
              </w:rPr>
              <w:t>4-2</w:t>
            </w:r>
            <w:r>
              <w:t>5 环保投资一览表</w:t>
            </w:r>
          </w:p>
          <w:tbl>
            <w:tblPr>
              <w:tblStyle w:val="185"/>
              <w:tblW w:w="4979"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68"/>
              <w:gridCol w:w="373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rPr>
                      <w:b/>
                      <w:bCs w:val="0"/>
                    </w:rPr>
                  </w:pPr>
                  <w:r>
                    <w:rPr>
                      <w:b/>
                      <w:bCs w:val="0"/>
                    </w:rPr>
                    <w:t>环保投资</w:t>
                  </w:r>
                </w:p>
              </w:tc>
              <w:tc>
                <w:tcPr>
                  <w:tcW w:w="2275" w:type="pct"/>
                </w:tcPr>
                <w:p>
                  <w:pPr>
                    <w:pStyle w:val="215"/>
                    <w:rPr>
                      <w:b/>
                      <w:bCs w:val="0"/>
                    </w:rPr>
                  </w:pPr>
                  <w:r>
                    <w:rPr>
                      <w:b/>
                      <w:bCs w:val="0"/>
                    </w:rPr>
                    <w:t>投资金额（万元）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pPr>
                  <w:r>
                    <w:rPr>
                      <w:rFonts w:hint="eastAsia"/>
                    </w:rPr>
                    <w:t>RTO设施</w:t>
                  </w:r>
                </w:p>
              </w:tc>
              <w:tc>
                <w:tcPr>
                  <w:tcW w:w="2275" w:type="pct"/>
                </w:tcPr>
                <w:p>
                  <w:pPr>
                    <w:pStyle w:val="215"/>
                  </w:pPr>
                  <w:r>
                    <w:t>100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pPr>
                  <w:r>
                    <w:rPr>
                      <w:rFonts w:hint="eastAsia"/>
                    </w:rPr>
                    <w:t>旋风除尘+脉冲袋式除尘器</w:t>
                  </w:r>
                </w:p>
              </w:tc>
              <w:tc>
                <w:tcPr>
                  <w:tcW w:w="2275" w:type="pct"/>
                </w:tcPr>
                <w:p>
                  <w:pPr>
                    <w:pStyle w:val="215"/>
                  </w:pPr>
                  <w: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pPr>
                  <w:r>
                    <w:rPr>
                      <w:rFonts w:hint="eastAsia"/>
                    </w:rPr>
                    <w:t>分区防渗</w:t>
                  </w:r>
                </w:p>
              </w:tc>
              <w:tc>
                <w:tcPr>
                  <w:tcW w:w="2275" w:type="pct"/>
                </w:tcPr>
                <w:p>
                  <w:pPr>
                    <w:pStyle w:val="215"/>
                  </w:pPr>
                  <w:r>
                    <w:t>2</w:t>
                  </w:r>
                  <w:r>
                    <w:rPr>
                      <w:rFonts w:hint="eastAsia"/>
                    </w:rPr>
                    <w:t>.</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pPr>
                  <w:r>
                    <w:rPr>
                      <w:rFonts w:hint="eastAsia"/>
                    </w:rPr>
                    <w:t>隔声减震</w:t>
                  </w:r>
                </w:p>
              </w:tc>
              <w:tc>
                <w:tcPr>
                  <w:tcW w:w="2275" w:type="pct"/>
                </w:tcPr>
                <w:p>
                  <w:pPr>
                    <w:pStyle w:val="215"/>
                  </w:pPr>
                  <w:r>
                    <w:rPr>
                      <w:rFonts w:hint="eastAsia"/>
                    </w:rPr>
                    <w:t>0.</w:t>
                  </w:r>
                  <w: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pPr>
                  <w:r>
                    <w:rPr>
                      <w:rFonts w:hint="eastAsia"/>
                    </w:rPr>
                    <w:t>应急消防物资</w:t>
                  </w:r>
                </w:p>
              </w:tc>
              <w:tc>
                <w:tcPr>
                  <w:tcW w:w="2275" w:type="pct"/>
                </w:tcPr>
                <w:p>
                  <w:pPr>
                    <w:pStyle w:val="215"/>
                  </w:pPr>
                  <w:r>
                    <w:rPr>
                      <w:rFonts w:hint="eastAsia"/>
                    </w:rPr>
                    <w:t>0.</w:t>
                  </w:r>
                  <w:r>
                    <w:t>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2725" w:type="pct"/>
                </w:tcPr>
                <w:p>
                  <w:pPr>
                    <w:pStyle w:val="215"/>
                  </w:pPr>
                  <w:r>
                    <w:t>合计</w:t>
                  </w:r>
                </w:p>
              </w:tc>
              <w:tc>
                <w:tcPr>
                  <w:tcW w:w="2275" w:type="pct"/>
                </w:tcPr>
                <w:p>
                  <w:pPr>
                    <w:pStyle w:val="215"/>
                  </w:pPr>
                  <w:r>
                    <w:t>123</w:t>
                  </w:r>
                  <w:r>
                    <w:rPr>
                      <w:rFonts w:hint="eastAsia"/>
                    </w:rPr>
                    <w:t>.</w:t>
                  </w:r>
                  <w:r>
                    <w:t>8</w:t>
                  </w:r>
                </w:p>
              </w:tc>
            </w:tr>
          </w:tbl>
          <w:p>
            <w:pPr>
              <w:adjustRightInd w:val="0"/>
              <w:snapToGrid w:val="0"/>
              <w:spacing w:before="120" w:beforeLines="50" w:line="360" w:lineRule="auto"/>
              <w:ind w:firstLine="482" w:firstLineChars="200"/>
              <w:jc w:val="left"/>
              <w:rPr>
                <w:b/>
                <w:bCs/>
              </w:rPr>
            </w:pPr>
            <w:r>
              <w:rPr>
                <w:rFonts w:hint="eastAsia"/>
                <w:b/>
                <w:bCs/>
              </w:rPr>
              <w:t>十</w:t>
            </w:r>
            <w:r>
              <w:rPr>
                <w:b/>
                <w:bCs/>
              </w:rPr>
              <w:t>、排污口规范化要求</w:t>
            </w:r>
          </w:p>
          <w:p>
            <w:pPr>
              <w:adjustRightInd w:val="0"/>
              <w:snapToGrid w:val="0"/>
              <w:spacing w:line="360" w:lineRule="auto"/>
              <w:ind w:firstLine="480" w:firstLineChars="200"/>
            </w:pPr>
            <w:r>
              <w:t>（1）排污口规范化：</w:t>
            </w:r>
          </w:p>
          <w:p>
            <w:pPr>
              <w:adjustRightInd w:val="0"/>
              <w:snapToGrid w:val="0"/>
              <w:spacing w:line="360" w:lineRule="auto"/>
              <w:ind w:firstLine="480" w:firstLineChars="200"/>
            </w:pPr>
            <w:r>
              <w:t>1）排污口管理</w:t>
            </w:r>
          </w:p>
          <w:p>
            <w:pPr>
              <w:adjustRightInd w:val="0"/>
              <w:snapToGrid w:val="0"/>
              <w:spacing w:line="360" w:lineRule="auto"/>
              <w:ind w:firstLine="480" w:firstLineChars="200"/>
            </w:pPr>
            <w: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adjustRightInd w:val="0"/>
              <w:snapToGrid w:val="0"/>
              <w:spacing w:line="360" w:lineRule="auto"/>
              <w:ind w:firstLine="480" w:firstLineChars="200"/>
            </w:pPr>
            <w:r>
              <w:t>2）环境保护图形标志</w:t>
            </w:r>
          </w:p>
          <w:p>
            <w:pPr>
              <w:adjustRightInd w:val="0"/>
              <w:snapToGrid w:val="0"/>
              <w:spacing w:line="360" w:lineRule="auto"/>
              <w:ind w:firstLine="480" w:firstLineChars="200"/>
            </w:pPr>
            <w:r>
              <w:t>在废气排放源、噪声产生点应设置环境保护图形标志，图形符号分为提示图形和警告图形符号两种，分别按GB15562.1-1995、GB15562.2-1995执行。环境保护图形符号见表</w:t>
            </w:r>
            <w:r>
              <w:rPr>
                <w:rFonts w:hint="eastAsia"/>
              </w:rPr>
              <w:t>4-2</w:t>
            </w:r>
            <w:r>
              <w:t>6。</w:t>
            </w:r>
          </w:p>
          <w:p>
            <w:pPr>
              <w:pStyle w:val="100"/>
            </w:pPr>
            <w:r>
              <w:t>表</w:t>
            </w:r>
            <w:r>
              <w:rPr>
                <w:rFonts w:hint="eastAsia"/>
              </w:rPr>
              <w:t>4-2</w:t>
            </w:r>
            <w:r>
              <w:t>6  环境保护图形符号一览表</w:t>
            </w:r>
          </w:p>
          <w:tbl>
            <w:tblPr>
              <w:tblStyle w:val="50"/>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654"/>
              <w:gridCol w:w="1527"/>
              <w:gridCol w:w="1634"/>
              <w:gridCol w:w="1549"/>
              <w:gridCol w:w="287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3" w:hRule="exact"/>
                <w:jc w:val="center"/>
              </w:trPr>
              <w:tc>
                <w:tcPr>
                  <w:tcW w:w="654" w:type="dxa"/>
                  <w:vAlign w:val="center"/>
                </w:tcPr>
                <w:p>
                  <w:pPr>
                    <w:pStyle w:val="215"/>
                    <w:rPr>
                      <w:b/>
                      <w:bCs w:val="0"/>
                    </w:rPr>
                  </w:pPr>
                  <w:r>
                    <w:rPr>
                      <w:b/>
                      <w:bCs w:val="0"/>
                    </w:rPr>
                    <w:t>序号</w:t>
                  </w:r>
                </w:p>
              </w:tc>
              <w:tc>
                <w:tcPr>
                  <w:tcW w:w="1527" w:type="dxa"/>
                  <w:vAlign w:val="center"/>
                </w:tcPr>
                <w:p>
                  <w:pPr>
                    <w:pStyle w:val="215"/>
                    <w:rPr>
                      <w:b/>
                      <w:bCs w:val="0"/>
                    </w:rPr>
                  </w:pPr>
                  <w:r>
                    <w:rPr>
                      <w:b/>
                      <w:bCs w:val="0"/>
                    </w:rPr>
                    <w:t>提示图形符号</w:t>
                  </w:r>
                </w:p>
              </w:tc>
              <w:tc>
                <w:tcPr>
                  <w:tcW w:w="1634" w:type="dxa"/>
                  <w:vAlign w:val="center"/>
                </w:tcPr>
                <w:p>
                  <w:pPr>
                    <w:pStyle w:val="215"/>
                    <w:rPr>
                      <w:b/>
                      <w:bCs w:val="0"/>
                    </w:rPr>
                  </w:pPr>
                  <w:r>
                    <w:rPr>
                      <w:b/>
                      <w:bCs w:val="0"/>
                    </w:rPr>
                    <w:t>警告图形符号</w:t>
                  </w:r>
                </w:p>
              </w:tc>
              <w:tc>
                <w:tcPr>
                  <w:tcW w:w="1549" w:type="dxa"/>
                  <w:vAlign w:val="center"/>
                </w:tcPr>
                <w:p>
                  <w:pPr>
                    <w:pStyle w:val="215"/>
                    <w:rPr>
                      <w:b/>
                      <w:bCs w:val="0"/>
                    </w:rPr>
                  </w:pPr>
                  <w:r>
                    <w:rPr>
                      <w:b/>
                      <w:bCs w:val="0"/>
                    </w:rPr>
                    <w:t>名称</w:t>
                  </w:r>
                </w:p>
              </w:tc>
              <w:tc>
                <w:tcPr>
                  <w:tcW w:w="2870" w:type="dxa"/>
                  <w:vAlign w:val="center"/>
                </w:tcPr>
                <w:p>
                  <w:pPr>
                    <w:pStyle w:val="215"/>
                    <w:rPr>
                      <w:b/>
                      <w:bCs w:val="0"/>
                    </w:rPr>
                  </w:pPr>
                  <w:r>
                    <w:rPr>
                      <w:b/>
                      <w:bCs w:val="0"/>
                    </w:rPr>
                    <w:t>功能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4" w:type="dxa"/>
                  <w:vAlign w:val="center"/>
                </w:tcPr>
                <w:p>
                  <w:pPr>
                    <w:pStyle w:val="215"/>
                  </w:pPr>
                  <w:r>
                    <w:rPr>
                      <w:rFonts w:eastAsiaTheme="minorEastAsia"/>
                    </w:rPr>
                    <w:t>1</w:t>
                  </w:r>
                </w:p>
              </w:tc>
              <w:tc>
                <w:tcPr>
                  <w:tcW w:w="1527" w:type="dxa"/>
                  <w:vAlign w:val="center"/>
                </w:tcPr>
                <w:p>
                  <w:pPr>
                    <w:pStyle w:val="215"/>
                  </w:pPr>
                  <w:r>
                    <w:rPr>
                      <w:rFonts w:eastAsiaTheme="minorEastAsia"/>
                    </w:rPr>
                    <w:drawing>
                      <wp:inline distT="0" distB="0" distL="0" distR="0">
                        <wp:extent cx="704850" cy="714375"/>
                        <wp:effectExtent l="0" t="0" r="0" b="9525"/>
                        <wp:docPr id="120" name="图片 25" descr="说明: 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5" descr="说明: 1300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704850" cy="714375"/>
                                </a:xfrm>
                                <a:prstGeom prst="rect">
                                  <a:avLst/>
                                </a:prstGeom>
                                <a:noFill/>
                                <a:ln>
                                  <a:noFill/>
                                </a:ln>
                              </pic:spPr>
                            </pic:pic>
                          </a:graphicData>
                        </a:graphic>
                      </wp:inline>
                    </w:drawing>
                  </w:r>
                </w:p>
              </w:tc>
              <w:tc>
                <w:tcPr>
                  <w:tcW w:w="1634" w:type="dxa"/>
                  <w:vAlign w:val="center"/>
                </w:tcPr>
                <w:p>
                  <w:pPr>
                    <w:pStyle w:val="215"/>
                  </w:pPr>
                  <w:r>
                    <w:rPr>
                      <w:rFonts w:eastAsiaTheme="minorEastAsia"/>
                    </w:rPr>
                    <w:drawing>
                      <wp:inline distT="0" distB="0" distL="0" distR="0">
                        <wp:extent cx="781050" cy="781050"/>
                        <wp:effectExtent l="0" t="0" r="0" b="0"/>
                        <wp:docPr id="121" name="图片 26" descr="说明: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6" descr="说明: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781050" cy="781050"/>
                                </a:xfrm>
                                <a:prstGeom prst="rect">
                                  <a:avLst/>
                                </a:prstGeom>
                                <a:noFill/>
                                <a:ln>
                                  <a:noFill/>
                                </a:ln>
                              </pic:spPr>
                            </pic:pic>
                          </a:graphicData>
                        </a:graphic>
                      </wp:inline>
                    </w:drawing>
                  </w:r>
                </w:p>
              </w:tc>
              <w:tc>
                <w:tcPr>
                  <w:tcW w:w="1549" w:type="dxa"/>
                  <w:vAlign w:val="center"/>
                </w:tcPr>
                <w:p>
                  <w:pPr>
                    <w:pStyle w:val="215"/>
                  </w:pPr>
                  <w:r>
                    <w:rPr>
                      <w:rFonts w:eastAsiaTheme="minorEastAsia"/>
                    </w:rPr>
                    <w:t>废气排放口</w:t>
                  </w:r>
                </w:p>
              </w:tc>
              <w:tc>
                <w:tcPr>
                  <w:tcW w:w="2870" w:type="dxa"/>
                  <w:vAlign w:val="center"/>
                </w:tcPr>
                <w:p>
                  <w:pPr>
                    <w:pStyle w:val="215"/>
                  </w:pPr>
                  <w:r>
                    <w:rPr>
                      <w:rFonts w:eastAsiaTheme="minorEastAsia"/>
                    </w:rPr>
                    <w:t>表示废气向大气环境排放</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4" w:type="dxa"/>
                  <w:vAlign w:val="center"/>
                </w:tcPr>
                <w:p>
                  <w:pPr>
                    <w:pStyle w:val="215"/>
                  </w:pPr>
                  <w:r>
                    <w:t>2</w:t>
                  </w:r>
                </w:p>
              </w:tc>
              <w:tc>
                <w:tcPr>
                  <w:tcW w:w="1527" w:type="dxa"/>
                  <w:vAlign w:val="center"/>
                </w:tcPr>
                <w:p>
                  <w:pPr>
                    <w:pStyle w:val="215"/>
                  </w:pPr>
                  <w:r>
                    <w:drawing>
                      <wp:inline distT="0" distB="0" distL="0" distR="0">
                        <wp:extent cx="752475" cy="752475"/>
                        <wp:effectExtent l="0" t="0" r="9525" b="9525"/>
                        <wp:docPr id="122" name="图片 27" descr="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7" descr="88888888888"/>
                                <pic:cNvPicPr>
                                  <a:picLocks noChangeAspect="1" noChangeArrowheads="1"/>
                                </pic:cNvPicPr>
                              </pic:nvPicPr>
                              <pic:blipFill>
                                <a:blip r:embed="rId27">
                                  <a:extLst>
                                    <a:ext uri="{28A0092B-C50C-407E-A947-70E740481C1C}">
                                      <a14:useLocalDpi xmlns:a14="http://schemas.microsoft.com/office/drawing/2010/main" val="0"/>
                                    </a:ext>
                                  </a:extLst>
                                </a:blip>
                                <a:srcRect l="54156" t="9958" r="30571" b="69034"/>
                                <a:stretch>
                                  <a:fillRect/>
                                </a:stretch>
                              </pic:blipFill>
                              <pic:spPr>
                                <a:xfrm>
                                  <a:off x="0" y="0"/>
                                  <a:ext cx="752475" cy="752475"/>
                                </a:xfrm>
                                <a:prstGeom prst="rect">
                                  <a:avLst/>
                                </a:prstGeom>
                                <a:noFill/>
                                <a:ln>
                                  <a:noFill/>
                                </a:ln>
                              </pic:spPr>
                            </pic:pic>
                          </a:graphicData>
                        </a:graphic>
                      </wp:inline>
                    </w:drawing>
                  </w:r>
                </w:p>
              </w:tc>
              <w:tc>
                <w:tcPr>
                  <w:tcW w:w="1634" w:type="dxa"/>
                  <w:vAlign w:val="center"/>
                </w:tcPr>
                <w:p>
                  <w:pPr>
                    <w:pStyle w:val="215"/>
                  </w:pPr>
                  <w:r>
                    <w:drawing>
                      <wp:inline distT="0" distB="0" distL="0" distR="0">
                        <wp:extent cx="893445" cy="781685"/>
                        <wp:effectExtent l="0" t="0" r="1905" b="0"/>
                        <wp:docPr id="123" name="图片 28" descr="8888888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8" descr="88888888888"/>
                                <pic:cNvPicPr>
                                  <a:picLocks noChangeAspect="1" noChangeArrowheads="1"/>
                                </pic:cNvPicPr>
                              </pic:nvPicPr>
                              <pic:blipFill>
                                <a:blip r:embed="rId27">
                                  <a:extLst>
                                    <a:ext uri="{28A0092B-C50C-407E-A947-70E740481C1C}">
                                      <a14:useLocalDpi xmlns:a14="http://schemas.microsoft.com/office/drawing/2010/main" val="0"/>
                                    </a:ext>
                                  </a:extLst>
                                </a:blip>
                                <a:srcRect l="53534" t="48140" r="30304" b="32684"/>
                                <a:stretch>
                                  <a:fillRect/>
                                </a:stretch>
                              </pic:blipFill>
                              <pic:spPr>
                                <a:xfrm>
                                  <a:off x="0" y="0"/>
                                  <a:ext cx="896171" cy="784150"/>
                                </a:xfrm>
                                <a:prstGeom prst="rect">
                                  <a:avLst/>
                                </a:prstGeom>
                                <a:noFill/>
                                <a:ln>
                                  <a:noFill/>
                                </a:ln>
                              </pic:spPr>
                            </pic:pic>
                          </a:graphicData>
                        </a:graphic>
                      </wp:inline>
                    </w:drawing>
                  </w:r>
                </w:p>
              </w:tc>
              <w:tc>
                <w:tcPr>
                  <w:tcW w:w="1549" w:type="dxa"/>
                  <w:vAlign w:val="center"/>
                </w:tcPr>
                <w:p>
                  <w:pPr>
                    <w:pStyle w:val="215"/>
                  </w:pPr>
                  <w:r>
                    <w:t>噪声源强</w:t>
                  </w:r>
                </w:p>
              </w:tc>
              <w:tc>
                <w:tcPr>
                  <w:tcW w:w="2870" w:type="dxa"/>
                  <w:vAlign w:val="center"/>
                </w:tcPr>
                <w:p>
                  <w:pPr>
                    <w:pStyle w:val="215"/>
                  </w:pPr>
                  <w:r>
                    <w:t>表示噪声生产源强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361" w:hRule="exact"/>
                <w:jc w:val="center"/>
              </w:trPr>
              <w:tc>
                <w:tcPr>
                  <w:tcW w:w="654" w:type="dxa"/>
                  <w:vAlign w:val="center"/>
                </w:tcPr>
                <w:p>
                  <w:pPr>
                    <w:pStyle w:val="215"/>
                  </w:pPr>
                  <w:r>
                    <w:t>3</w:t>
                  </w:r>
                </w:p>
              </w:tc>
              <w:tc>
                <w:tcPr>
                  <w:tcW w:w="1527" w:type="dxa"/>
                  <w:vAlign w:val="center"/>
                </w:tcPr>
                <w:p>
                  <w:pPr>
                    <w:pStyle w:val="215"/>
                  </w:pPr>
                  <w:r>
                    <w:drawing>
                      <wp:inline distT="0" distB="0" distL="0" distR="0">
                        <wp:extent cx="714375" cy="723900"/>
                        <wp:effectExtent l="0" t="0" r="9525" b="0"/>
                        <wp:docPr id="124" name="图片 29" descr="说明: 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9" descr="说明: 140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714375" cy="723900"/>
                                </a:xfrm>
                                <a:prstGeom prst="rect">
                                  <a:avLst/>
                                </a:prstGeom>
                                <a:noFill/>
                                <a:ln>
                                  <a:noFill/>
                                </a:ln>
                              </pic:spPr>
                            </pic:pic>
                          </a:graphicData>
                        </a:graphic>
                      </wp:inline>
                    </w:drawing>
                  </w:r>
                </w:p>
              </w:tc>
              <w:tc>
                <w:tcPr>
                  <w:tcW w:w="1634" w:type="dxa"/>
                  <w:vAlign w:val="center"/>
                </w:tcPr>
                <w:p>
                  <w:pPr>
                    <w:pStyle w:val="215"/>
                  </w:pPr>
                  <w:r>
                    <w:drawing>
                      <wp:inline distT="0" distB="0" distL="0" distR="0">
                        <wp:extent cx="809625" cy="752475"/>
                        <wp:effectExtent l="0" t="0" r="9525" b="9525"/>
                        <wp:docPr id="125" name="图片 30" descr="说明: 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30" descr="说明: 1400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809625" cy="752475"/>
                                </a:xfrm>
                                <a:prstGeom prst="rect">
                                  <a:avLst/>
                                </a:prstGeom>
                                <a:noFill/>
                                <a:ln>
                                  <a:noFill/>
                                </a:ln>
                              </pic:spPr>
                            </pic:pic>
                          </a:graphicData>
                        </a:graphic>
                      </wp:inline>
                    </w:drawing>
                  </w:r>
                </w:p>
              </w:tc>
              <w:tc>
                <w:tcPr>
                  <w:tcW w:w="1549" w:type="dxa"/>
                  <w:vAlign w:val="center"/>
                </w:tcPr>
                <w:p>
                  <w:pPr>
                    <w:pStyle w:val="215"/>
                  </w:pPr>
                  <w:r>
                    <w:t>一般固体废物</w:t>
                  </w:r>
                </w:p>
              </w:tc>
              <w:tc>
                <w:tcPr>
                  <w:tcW w:w="2870" w:type="dxa"/>
                  <w:vAlign w:val="center"/>
                </w:tcPr>
                <w:p>
                  <w:pPr>
                    <w:pStyle w:val="215"/>
                  </w:pPr>
                  <w:r>
                    <w:t>表示固体废物贮存、处置场</w:t>
                  </w:r>
                </w:p>
              </w:tc>
            </w:tr>
          </w:tbl>
          <w:p>
            <w:pPr>
              <w:adjustRightInd w:val="0"/>
              <w:snapToGrid w:val="0"/>
              <w:spacing w:before="120" w:beforeLines="50" w:line="360" w:lineRule="auto"/>
              <w:ind w:firstLine="480" w:firstLineChars="200"/>
              <w:jc w:val="left"/>
            </w:pPr>
            <w:r>
              <w:t>（3）环境保护档案管理</w:t>
            </w:r>
          </w:p>
          <w:p>
            <w:pPr>
              <w:adjustRightInd w:val="0"/>
              <w:snapToGrid w:val="0"/>
              <w:spacing w:line="360" w:lineRule="auto"/>
              <w:ind w:firstLine="480" w:firstLineChars="200"/>
              <w:jc w:val="left"/>
            </w:pPr>
            <w:r>
              <w:t>公司环保科负责项目的环境保护档案管理工作，环保档案实行专人管理责任到人。企业的所有环保资料应分类别整理、分类存档、科学管理，便于统计、查阅。在环境保护档案管理中，应建立如下文件档案：与本项目有关的法规、标准、规范和区域规划等；项目建设的有关环境保护的报告、设计方案及审查、审批文件；项目环保工程设施的设计、施工、安装的基础资料及验收资料；公司内部的环境保护管理制度、人员环保培训和考核记录；生态恢复工程、污染治理设施运行管理文件；环境监测记录技术文件；建立台账，如实记录生产原料、辅料的使用量、废弃量、去向，台账保存期限不得少于三年；所有导致污染事件的分析报告和检测数据资料等。</w:t>
            </w:r>
          </w:p>
          <w:p>
            <w:pPr>
              <w:adjustRightInd w:val="0"/>
              <w:snapToGrid w:val="0"/>
              <w:spacing w:line="360" w:lineRule="auto"/>
              <w:ind w:firstLine="482" w:firstLineChars="200"/>
              <w:jc w:val="left"/>
            </w:pPr>
            <w:r>
              <w:rPr>
                <w:rFonts w:hint="eastAsia"/>
                <w:b/>
                <w:bCs/>
                <w:lang w:val="en-GB"/>
              </w:rPr>
              <w:t>十一</w:t>
            </w:r>
            <w:r>
              <w:rPr>
                <w:b/>
                <w:bCs/>
                <w:lang w:val="en-GB"/>
              </w:rPr>
              <w:t>、三同时一览表</w:t>
            </w:r>
          </w:p>
          <w:p>
            <w:pPr>
              <w:pStyle w:val="100"/>
            </w:pPr>
            <w:r>
              <w:t>表</w:t>
            </w:r>
            <w:r>
              <w:rPr>
                <w:rFonts w:hint="eastAsia"/>
              </w:rPr>
              <w:t>4-2</w:t>
            </w:r>
            <w:r>
              <w:t>7  “三同时”验收一览表</w:t>
            </w:r>
          </w:p>
          <w:tbl>
            <w:tblPr>
              <w:tblStyle w:val="50"/>
              <w:tblW w:w="8382"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681"/>
              <w:gridCol w:w="1115"/>
              <w:gridCol w:w="1125"/>
              <w:gridCol w:w="1265"/>
              <w:gridCol w:w="1511"/>
              <w:gridCol w:w="2685"/>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681" w:type="dxa"/>
                  <w:vAlign w:val="center"/>
                </w:tcPr>
                <w:p>
                  <w:pPr>
                    <w:pStyle w:val="215"/>
                    <w:rPr>
                      <w:b/>
                      <w:bCs w:val="0"/>
                    </w:rPr>
                  </w:pPr>
                  <w:r>
                    <w:rPr>
                      <w:b/>
                      <w:bCs w:val="0"/>
                    </w:rPr>
                    <w:t>内容</w:t>
                  </w:r>
                </w:p>
                <w:p>
                  <w:pPr>
                    <w:pStyle w:val="215"/>
                    <w:rPr>
                      <w:b/>
                      <w:bCs w:val="0"/>
                    </w:rPr>
                  </w:pPr>
                  <w:r>
                    <w:rPr>
                      <w:b/>
                      <w:bCs w:val="0"/>
                    </w:rPr>
                    <w:t>类型</w:t>
                  </w:r>
                </w:p>
              </w:tc>
              <w:tc>
                <w:tcPr>
                  <w:tcW w:w="2240" w:type="dxa"/>
                  <w:gridSpan w:val="2"/>
                  <w:vAlign w:val="center"/>
                </w:tcPr>
                <w:p>
                  <w:pPr>
                    <w:pStyle w:val="215"/>
                    <w:rPr>
                      <w:b/>
                      <w:bCs w:val="0"/>
                    </w:rPr>
                  </w:pPr>
                  <w:r>
                    <w:rPr>
                      <w:b/>
                      <w:bCs w:val="0"/>
                    </w:rPr>
                    <w:t>排放源</w:t>
                  </w:r>
                </w:p>
                <w:p>
                  <w:pPr>
                    <w:pStyle w:val="215"/>
                    <w:rPr>
                      <w:b/>
                      <w:bCs w:val="0"/>
                    </w:rPr>
                  </w:pPr>
                  <w:r>
                    <w:rPr>
                      <w:b/>
                      <w:bCs w:val="0"/>
                    </w:rPr>
                    <w:t>(编号)</w:t>
                  </w:r>
                </w:p>
              </w:tc>
              <w:tc>
                <w:tcPr>
                  <w:tcW w:w="1265" w:type="dxa"/>
                  <w:vAlign w:val="center"/>
                </w:tcPr>
                <w:p>
                  <w:pPr>
                    <w:pStyle w:val="215"/>
                    <w:rPr>
                      <w:b/>
                      <w:bCs w:val="0"/>
                    </w:rPr>
                  </w:pPr>
                  <w:r>
                    <w:rPr>
                      <w:b/>
                      <w:bCs w:val="0"/>
                    </w:rPr>
                    <w:t>污染物</w:t>
                  </w:r>
                </w:p>
                <w:p>
                  <w:pPr>
                    <w:pStyle w:val="215"/>
                    <w:rPr>
                      <w:b/>
                      <w:bCs w:val="0"/>
                    </w:rPr>
                  </w:pPr>
                  <w:r>
                    <w:rPr>
                      <w:b/>
                      <w:bCs w:val="0"/>
                    </w:rPr>
                    <w:t>名称</w:t>
                  </w:r>
                </w:p>
              </w:tc>
              <w:tc>
                <w:tcPr>
                  <w:tcW w:w="1511" w:type="dxa"/>
                  <w:vAlign w:val="center"/>
                </w:tcPr>
                <w:p>
                  <w:pPr>
                    <w:pStyle w:val="215"/>
                    <w:rPr>
                      <w:b/>
                      <w:bCs w:val="0"/>
                    </w:rPr>
                  </w:pPr>
                  <w:r>
                    <w:rPr>
                      <w:b/>
                      <w:bCs w:val="0"/>
                    </w:rPr>
                    <w:t>防治措施</w:t>
                  </w:r>
                </w:p>
              </w:tc>
              <w:tc>
                <w:tcPr>
                  <w:tcW w:w="2685" w:type="dxa"/>
                  <w:vAlign w:val="center"/>
                </w:tcPr>
                <w:p>
                  <w:pPr>
                    <w:pStyle w:val="215"/>
                    <w:rPr>
                      <w:b/>
                      <w:bCs w:val="0"/>
                    </w:rPr>
                  </w:pPr>
                  <w:r>
                    <w:rPr>
                      <w:b/>
                      <w:bCs w:val="0"/>
                    </w:rPr>
                    <w:t>预期治理效果</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8" w:hRule="atLeast"/>
                <w:jc w:val="center"/>
              </w:trPr>
              <w:tc>
                <w:tcPr>
                  <w:tcW w:w="681" w:type="dxa"/>
                  <w:vMerge w:val="restart"/>
                  <w:vAlign w:val="center"/>
                </w:tcPr>
                <w:p>
                  <w:pPr>
                    <w:pStyle w:val="215"/>
                  </w:pPr>
                  <w:r>
                    <w:t>大气污染物</w:t>
                  </w:r>
                </w:p>
              </w:tc>
              <w:tc>
                <w:tcPr>
                  <w:tcW w:w="1115" w:type="dxa"/>
                  <w:vMerge w:val="restart"/>
                  <w:vAlign w:val="center"/>
                </w:tcPr>
                <w:p>
                  <w:pPr>
                    <w:pStyle w:val="215"/>
                  </w:pPr>
                  <w:r>
                    <w:t>营运期</w:t>
                  </w:r>
                </w:p>
              </w:tc>
              <w:tc>
                <w:tcPr>
                  <w:tcW w:w="1125" w:type="dxa"/>
                  <w:vMerge w:val="restart"/>
                  <w:vAlign w:val="center"/>
                </w:tcPr>
                <w:p>
                  <w:pPr>
                    <w:pStyle w:val="215"/>
                  </w:pPr>
                  <w:r>
                    <w:rPr>
                      <w:rFonts w:hint="eastAsia"/>
                    </w:rPr>
                    <w:t>DA002</w:t>
                  </w:r>
                </w:p>
              </w:tc>
              <w:tc>
                <w:tcPr>
                  <w:tcW w:w="1265" w:type="dxa"/>
                  <w:vAlign w:val="center"/>
                </w:tcPr>
                <w:p>
                  <w:pPr>
                    <w:pStyle w:val="215"/>
                  </w:pPr>
                  <w:r>
                    <w:rPr>
                      <w:rFonts w:hint="eastAsia" w:eastAsiaTheme="minorEastAsia"/>
                    </w:rPr>
                    <w:t>颗粒物</w:t>
                  </w:r>
                </w:p>
              </w:tc>
              <w:tc>
                <w:tcPr>
                  <w:tcW w:w="1511" w:type="dxa"/>
                  <w:vMerge w:val="restart"/>
                  <w:vAlign w:val="center"/>
                </w:tcPr>
                <w:p>
                  <w:pPr>
                    <w:pStyle w:val="215"/>
                  </w:pPr>
                  <w:r>
                    <w:rPr>
                      <w:rFonts w:hint="eastAsia"/>
                    </w:rPr>
                    <w:t>脉冲袋式除尘器</w:t>
                  </w:r>
                </w:p>
              </w:tc>
              <w:tc>
                <w:tcPr>
                  <w:tcW w:w="2685" w:type="dxa"/>
                  <w:vMerge w:val="restart"/>
                  <w:vAlign w:val="center"/>
                </w:tcPr>
                <w:p>
                  <w:pPr>
                    <w:pStyle w:val="215"/>
                  </w:pPr>
                  <w:r>
                    <w:rPr>
                      <w:rFonts w:hint="eastAsia" w:eastAsiaTheme="minorEastAsia"/>
                    </w:rPr>
                    <w:t>《大气污染物综合排放标准》（GB16297-1996）表2二级排放标准要求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continue"/>
                  <w:vAlign w:val="center"/>
                </w:tcPr>
                <w:p>
                  <w:pPr>
                    <w:pStyle w:val="215"/>
                  </w:pPr>
                </w:p>
              </w:tc>
              <w:tc>
                <w:tcPr>
                  <w:tcW w:w="1265" w:type="dxa"/>
                  <w:vAlign w:val="center"/>
                </w:tcPr>
                <w:p>
                  <w:pPr>
                    <w:pStyle w:val="215"/>
                  </w:pPr>
                  <w:r>
                    <w:rPr>
                      <w:rFonts w:hint="eastAsia" w:eastAsiaTheme="minorEastAsia"/>
                    </w:rPr>
                    <w:t>VOCs</w:t>
                  </w:r>
                </w:p>
              </w:tc>
              <w:tc>
                <w:tcPr>
                  <w:tcW w:w="1511" w:type="dxa"/>
                  <w:vMerge w:val="continue"/>
                  <w:vAlign w:val="center"/>
                </w:tcPr>
                <w:p>
                  <w:pPr>
                    <w:pStyle w:val="215"/>
                  </w:pPr>
                </w:p>
              </w:tc>
              <w:tc>
                <w:tcPr>
                  <w:tcW w:w="268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Align w:val="center"/>
                </w:tcPr>
                <w:p>
                  <w:pPr>
                    <w:pStyle w:val="215"/>
                  </w:pPr>
                  <w:r>
                    <w:rPr>
                      <w:rFonts w:hint="eastAsia"/>
                    </w:rPr>
                    <w:t>DA</w:t>
                  </w:r>
                  <w:r>
                    <w:t>004</w:t>
                  </w:r>
                </w:p>
              </w:tc>
              <w:tc>
                <w:tcPr>
                  <w:tcW w:w="1265" w:type="dxa"/>
                  <w:vAlign w:val="center"/>
                </w:tcPr>
                <w:p>
                  <w:pPr>
                    <w:pStyle w:val="215"/>
                    <w:rPr>
                      <w:rFonts w:eastAsiaTheme="minorEastAsia"/>
                    </w:rPr>
                  </w:pPr>
                  <w:r>
                    <w:rPr>
                      <w:rFonts w:hint="eastAsia" w:eastAsiaTheme="minorEastAsia"/>
                    </w:rPr>
                    <w:t>颗粒物</w:t>
                  </w:r>
                </w:p>
              </w:tc>
              <w:tc>
                <w:tcPr>
                  <w:tcW w:w="1511" w:type="dxa"/>
                  <w:vAlign w:val="center"/>
                </w:tcPr>
                <w:p>
                  <w:pPr>
                    <w:pStyle w:val="215"/>
                  </w:pPr>
                  <w:r>
                    <w:rPr>
                      <w:rFonts w:hint="eastAsia"/>
                    </w:rPr>
                    <w:t>集气罩+旋风除尘+脉冲袋式除尘</w:t>
                  </w:r>
                </w:p>
              </w:tc>
              <w:tc>
                <w:tcPr>
                  <w:tcW w:w="268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restart"/>
                  <w:vAlign w:val="center"/>
                </w:tcPr>
                <w:p>
                  <w:pPr>
                    <w:pStyle w:val="215"/>
                  </w:pPr>
                  <w:r>
                    <w:rPr>
                      <w:rFonts w:hint="eastAsia"/>
                    </w:rPr>
                    <w:t>DA</w:t>
                  </w:r>
                  <w:r>
                    <w:t>005</w:t>
                  </w:r>
                </w:p>
              </w:tc>
              <w:tc>
                <w:tcPr>
                  <w:tcW w:w="1265" w:type="dxa"/>
                  <w:vAlign w:val="center"/>
                </w:tcPr>
                <w:p>
                  <w:pPr>
                    <w:pStyle w:val="215"/>
                    <w:rPr>
                      <w:rFonts w:eastAsiaTheme="minorEastAsia"/>
                    </w:rPr>
                  </w:pPr>
                  <w:r>
                    <w:rPr>
                      <w:rFonts w:hint="eastAsia" w:eastAsiaTheme="minorEastAsia"/>
                    </w:rPr>
                    <w:t>VOCs</w:t>
                  </w:r>
                </w:p>
              </w:tc>
              <w:tc>
                <w:tcPr>
                  <w:tcW w:w="1511" w:type="dxa"/>
                  <w:vMerge w:val="restart"/>
                  <w:vAlign w:val="center"/>
                </w:tcPr>
                <w:p>
                  <w:pPr>
                    <w:pStyle w:val="215"/>
                  </w:pPr>
                  <w:r>
                    <w:rPr>
                      <w:rFonts w:hint="eastAsia"/>
                    </w:rPr>
                    <w:t>集气罩+RTO蓄热式焚烧炉</w:t>
                  </w:r>
                </w:p>
              </w:tc>
              <w:tc>
                <w:tcPr>
                  <w:tcW w:w="268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continue"/>
                  <w:vAlign w:val="center"/>
                </w:tcPr>
                <w:p>
                  <w:pPr>
                    <w:pStyle w:val="215"/>
                  </w:pPr>
                </w:p>
              </w:tc>
              <w:tc>
                <w:tcPr>
                  <w:tcW w:w="1265" w:type="dxa"/>
                  <w:vAlign w:val="center"/>
                </w:tcPr>
                <w:p>
                  <w:pPr>
                    <w:pStyle w:val="215"/>
                    <w:rPr>
                      <w:rFonts w:eastAsiaTheme="minorEastAsia"/>
                    </w:rPr>
                  </w:pPr>
                  <w:r>
                    <w:rPr>
                      <w:rFonts w:hint="eastAsia" w:eastAsiaTheme="minorEastAsia"/>
                    </w:rPr>
                    <w:t>甲醛</w:t>
                  </w:r>
                </w:p>
              </w:tc>
              <w:tc>
                <w:tcPr>
                  <w:tcW w:w="1511" w:type="dxa"/>
                  <w:vMerge w:val="continue"/>
                  <w:vAlign w:val="center"/>
                </w:tcPr>
                <w:p>
                  <w:pPr>
                    <w:pStyle w:val="215"/>
                  </w:pPr>
                </w:p>
              </w:tc>
              <w:tc>
                <w:tcPr>
                  <w:tcW w:w="268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restart"/>
                  <w:vAlign w:val="center"/>
                </w:tcPr>
                <w:p>
                  <w:pPr>
                    <w:pStyle w:val="215"/>
                  </w:pPr>
                  <w:r>
                    <w:rPr>
                      <w:rFonts w:hint="eastAsia"/>
                    </w:rPr>
                    <w:t>厂区</w:t>
                  </w:r>
                </w:p>
              </w:tc>
              <w:tc>
                <w:tcPr>
                  <w:tcW w:w="1265" w:type="dxa"/>
                  <w:vAlign w:val="center"/>
                </w:tcPr>
                <w:p>
                  <w:pPr>
                    <w:pStyle w:val="215"/>
                    <w:rPr>
                      <w:rFonts w:eastAsiaTheme="minorEastAsia"/>
                    </w:rPr>
                  </w:pPr>
                  <w:r>
                    <w:rPr>
                      <w:rFonts w:hint="eastAsia" w:eastAsiaTheme="minorEastAsia"/>
                    </w:rPr>
                    <w:t>颗粒物</w:t>
                  </w:r>
                </w:p>
              </w:tc>
              <w:tc>
                <w:tcPr>
                  <w:tcW w:w="1511" w:type="dxa"/>
                  <w:vAlign w:val="center"/>
                </w:tcPr>
                <w:p>
                  <w:pPr>
                    <w:pStyle w:val="215"/>
                  </w:pPr>
                  <w:r>
                    <w:rPr>
                      <w:rFonts w:hint="eastAsia"/>
                    </w:rPr>
                    <w:t>厂区密闭，自然沉降</w:t>
                  </w:r>
                </w:p>
              </w:tc>
              <w:tc>
                <w:tcPr>
                  <w:tcW w:w="2685" w:type="dxa"/>
                  <w:vAlign w:val="center"/>
                </w:tcPr>
                <w:p>
                  <w:pPr>
                    <w:pStyle w:val="215"/>
                  </w:pPr>
                  <w:r>
                    <w:rPr>
                      <w:rFonts w:hint="eastAsia" w:eastAsiaTheme="minorEastAsia"/>
                    </w:rPr>
                    <w:t>《大气污染物综合排放标准》（GB16297-1996）表2标准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continue"/>
                  <w:vAlign w:val="center"/>
                </w:tcPr>
                <w:p>
                  <w:pPr>
                    <w:pStyle w:val="215"/>
                  </w:pPr>
                </w:p>
              </w:tc>
              <w:tc>
                <w:tcPr>
                  <w:tcW w:w="1265" w:type="dxa"/>
                  <w:vAlign w:val="center"/>
                </w:tcPr>
                <w:p>
                  <w:pPr>
                    <w:pStyle w:val="215"/>
                    <w:rPr>
                      <w:rFonts w:eastAsiaTheme="minorEastAsia"/>
                    </w:rPr>
                  </w:pPr>
                  <w:r>
                    <w:rPr>
                      <w:rFonts w:hint="eastAsia" w:eastAsiaTheme="minorEastAsia"/>
                    </w:rPr>
                    <w:t>VOCs</w:t>
                  </w:r>
                </w:p>
              </w:tc>
              <w:tc>
                <w:tcPr>
                  <w:tcW w:w="1511" w:type="dxa"/>
                  <w:vMerge w:val="restart"/>
                  <w:vAlign w:val="center"/>
                </w:tcPr>
                <w:p>
                  <w:pPr>
                    <w:pStyle w:val="215"/>
                  </w:pPr>
                  <w:r>
                    <w:rPr>
                      <w:rFonts w:hint="eastAsia"/>
                    </w:rPr>
                    <w:t>厂区密闭</w:t>
                  </w:r>
                </w:p>
              </w:tc>
              <w:tc>
                <w:tcPr>
                  <w:tcW w:w="2685" w:type="dxa"/>
                  <w:vAlign w:val="center"/>
                </w:tcPr>
                <w:p>
                  <w:pPr>
                    <w:pStyle w:val="215"/>
                  </w:pPr>
                  <w:r>
                    <w:rPr>
                      <w:rFonts w:hint="eastAsia"/>
                      <w:lang w:val="en-GB"/>
                    </w:rPr>
                    <w:t>厂内浓度满足</w:t>
                  </w:r>
                  <w:r>
                    <w:t>《挥发性有机物无组织排放控制标准》（GB37822-2019）</w:t>
                  </w:r>
                  <w:r>
                    <w:rPr>
                      <w:rFonts w:hint="eastAsia"/>
                    </w:rPr>
                    <w:t>要求，厂界浓度满足《大气污染物综合排放标准》（GB16297-1996）</w:t>
                  </w:r>
                  <w:r>
                    <w:rPr>
                      <w:rFonts w:hint="eastAsia"/>
                      <w:lang w:val="en-GB"/>
                    </w:rPr>
                    <w:t>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76"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continue"/>
                  <w:vAlign w:val="center"/>
                </w:tcPr>
                <w:p>
                  <w:pPr>
                    <w:pStyle w:val="215"/>
                  </w:pPr>
                </w:p>
              </w:tc>
              <w:tc>
                <w:tcPr>
                  <w:tcW w:w="1265" w:type="dxa"/>
                  <w:vAlign w:val="center"/>
                </w:tcPr>
                <w:p>
                  <w:pPr>
                    <w:pStyle w:val="215"/>
                    <w:rPr>
                      <w:rFonts w:eastAsiaTheme="minorEastAsia"/>
                    </w:rPr>
                  </w:pPr>
                  <w:r>
                    <w:rPr>
                      <w:rFonts w:hint="eastAsia" w:eastAsiaTheme="minorEastAsia"/>
                    </w:rPr>
                    <w:t>甲醛</w:t>
                  </w:r>
                </w:p>
              </w:tc>
              <w:tc>
                <w:tcPr>
                  <w:tcW w:w="1511" w:type="dxa"/>
                  <w:vMerge w:val="continue"/>
                  <w:vAlign w:val="center"/>
                </w:tcPr>
                <w:p>
                  <w:pPr>
                    <w:pStyle w:val="215"/>
                  </w:pPr>
                </w:p>
              </w:tc>
              <w:tc>
                <w:tcPr>
                  <w:tcW w:w="2685" w:type="dxa"/>
                  <w:vAlign w:val="center"/>
                </w:tcPr>
                <w:p>
                  <w:pPr>
                    <w:pStyle w:val="215"/>
                  </w:pPr>
                  <w:r>
                    <w:rPr>
                      <w:rFonts w:hint="eastAsia" w:eastAsiaTheme="minorEastAsia"/>
                    </w:rPr>
                    <w:t>《大气污染物综合排放标准》（GB16297-1996）表2标准</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30" w:hRule="atLeast"/>
                <w:jc w:val="center"/>
              </w:trPr>
              <w:tc>
                <w:tcPr>
                  <w:tcW w:w="681" w:type="dxa"/>
                  <w:vMerge w:val="restart"/>
                  <w:vAlign w:val="center"/>
                </w:tcPr>
                <w:p>
                  <w:pPr>
                    <w:pStyle w:val="215"/>
                  </w:pPr>
                  <w:r>
                    <w:t>固体废物</w:t>
                  </w:r>
                </w:p>
              </w:tc>
              <w:tc>
                <w:tcPr>
                  <w:tcW w:w="1115" w:type="dxa"/>
                  <w:vMerge w:val="restart"/>
                  <w:vAlign w:val="center"/>
                </w:tcPr>
                <w:p>
                  <w:pPr>
                    <w:pStyle w:val="215"/>
                  </w:pPr>
                  <w:r>
                    <w:t>营运期</w:t>
                  </w:r>
                </w:p>
              </w:tc>
              <w:tc>
                <w:tcPr>
                  <w:tcW w:w="1125" w:type="dxa"/>
                  <w:vMerge w:val="restart"/>
                  <w:vAlign w:val="center"/>
                </w:tcPr>
                <w:p>
                  <w:pPr>
                    <w:pStyle w:val="215"/>
                  </w:pPr>
                  <w:r>
                    <w:t>一般固废</w:t>
                  </w:r>
                </w:p>
              </w:tc>
              <w:tc>
                <w:tcPr>
                  <w:tcW w:w="1265" w:type="dxa"/>
                  <w:vAlign w:val="center"/>
                </w:tcPr>
                <w:p>
                  <w:pPr>
                    <w:pStyle w:val="215"/>
                  </w:pPr>
                  <w:r>
                    <w:rPr>
                      <w:rFonts w:hint="eastAsia"/>
                    </w:rPr>
                    <w:t>粉尘</w:t>
                  </w:r>
                </w:p>
              </w:tc>
              <w:tc>
                <w:tcPr>
                  <w:tcW w:w="1511" w:type="dxa"/>
                  <w:vAlign w:val="center"/>
                </w:tcPr>
                <w:p>
                  <w:pPr>
                    <w:pStyle w:val="215"/>
                  </w:pPr>
                  <w:r>
                    <w:rPr>
                      <w:rFonts w:hint="eastAsia"/>
                    </w:rPr>
                    <w:t>回用</w:t>
                  </w:r>
                </w:p>
              </w:tc>
              <w:tc>
                <w:tcPr>
                  <w:tcW w:w="2685" w:type="dxa"/>
                  <w:vMerge w:val="restart"/>
                  <w:vAlign w:val="center"/>
                </w:tcPr>
                <w:p>
                  <w:pPr>
                    <w:pStyle w:val="215"/>
                  </w:pPr>
                  <w:r>
                    <w:t>满足</w:t>
                  </w:r>
                  <w:r>
                    <w:rPr>
                      <w:rFonts w:hint="eastAsia"/>
                    </w:rPr>
                    <w:t>《一般工业固体废物贮存和填埋 污染控制标准》（GB18599-2020）</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08"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continue"/>
                  <w:vAlign w:val="center"/>
                </w:tcPr>
                <w:p>
                  <w:pPr>
                    <w:pStyle w:val="215"/>
                  </w:pPr>
                </w:p>
              </w:tc>
              <w:tc>
                <w:tcPr>
                  <w:tcW w:w="1265" w:type="dxa"/>
                  <w:vAlign w:val="center"/>
                </w:tcPr>
                <w:p>
                  <w:pPr>
                    <w:pStyle w:val="215"/>
                  </w:pPr>
                  <w:r>
                    <w:rPr>
                      <w:rFonts w:hint="eastAsia"/>
                    </w:rPr>
                    <w:t>废边角料</w:t>
                  </w:r>
                </w:p>
              </w:tc>
              <w:tc>
                <w:tcPr>
                  <w:tcW w:w="1511" w:type="dxa"/>
                  <w:vAlign w:val="center"/>
                </w:tcPr>
                <w:p>
                  <w:pPr>
                    <w:pStyle w:val="215"/>
                  </w:pPr>
                  <w:r>
                    <w:rPr>
                      <w:rFonts w:hint="eastAsia"/>
                    </w:rPr>
                    <w:t>回用</w:t>
                  </w:r>
                </w:p>
              </w:tc>
              <w:tc>
                <w:tcPr>
                  <w:tcW w:w="268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00"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Merge w:val="continue"/>
                  <w:vAlign w:val="center"/>
                </w:tcPr>
                <w:p>
                  <w:pPr>
                    <w:pStyle w:val="215"/>
                  </w:pPr>
                </w:p>
              </w:tc>
              <w:tc>
                <w:tcPr>
                  <w:tcW w:w="1265" w:type="dxa"/>
                  <w:vAlign w:val="center"/>
                </w:tcPr>
                <w:p>
                  <w:pPr>
                    <w:pStyle w:val="215"/>
                  </w:pPr>
                  <w:r>
                    <w:rPr>
                      <w:rFonts w:hint="eastAsia"/>
                    </w:rPr>
                    <w:t>不合格品</w:t>
                  </w:r>
                </w:p>
              </w:tc>
              <w:tc>
                <w:tcPr>
                  <w:tcW w:w="1511" w:type="dxa"/>
                  <w:vAlign w:val="center"/>
                </w:tcPr>
                <w:p>
                  <w:pPr>
                    <w:pStyle w:val="215"/>
                  </w:pPr>
                  <w:r>
                    <w:rPr>
                      <w:rFonts w:hint="eastAsia"/>
                    </w:rPr>
                    <w:t>回用</w:t>
                  </w:r>
                </w:p>
              </w:tc>
              <w:tc>
                <w:tcPr>
                  <w:tcW w:w="2685" w:type="dxa"/>
                  <w:vMerge w:val="continue"/>
                  <w:vAlign w:val="center"/>
                </w:tcPr>
                <w:p>
                  <w:pPr>
                    <w:pStyle w:val="215"/>
                  </w:pP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08" w:hRule="atLeast"/>
                <w:jc w:val="center"/>
              </w:trPr>
              <w:tc>
                <w:tcPr>
                  <w:tcW w:w="681" w:type="dxa"/>
                  <w:vMerge w:val="continue"/>
                  <w:vAlign w:val="center"/>
                </w:tcPr>
                <w:p>
                  <w:pPr>
                    <w:pStyle w:val="215"/>
                  </w:pPr>
                </w:p>
              </w:tc>
              <w:tc>
                <w:tcPr>
                  <w:tcW w:w="1115" w:type="dxa"/>
                  <w:vMerge w:val="continue"/>
                  <w:vAlign w:val="center"/>
                </w:tcPr>
                <w:p>
                  <w:pPr>
                    <w:pStyle w:val="215"/>
                  </w:pPr>
                </w:p>
              </w:tc>
              <w:tc>
                <w:tcPr>
                  <w:tcW w:w="1125" w:type="dxa"/>
                  <w:vAlign w:val="center"/>
                </w:tcPr>
                <w:p>
                  <w:pPr>
                    <w:pStyle w:val="215"/>
                  </w:pPr>
                  <w:r>
                    <w:rPr>
                      <w:rFonts w:hint="eastAsia"/>
                    </w:rPr>
                    <w:t>危险废物</w:t>
                  </w:r>
                </w:p>
              </w:tc>
              <w:tc>
                <w:tcPr>
                  <w:tcW w:w="1265" w:type="dxa"/>
                  <w:vAlign w:val="center"/>
                </w:tcPr>
                <w:p>
                  <w:pPr>
                    <w:pStyle w:val="215"/>
                  </w:pPr>
                  <w:r>
                    <w:rPr>
                      <w:rFonts w:hint="eastAsia"/>
                    </w:rPr>
                    <w:t>废导热油</w:t>
                  </w:r>
                </w:p>
              </w:tc>
              <w:tc>
                <w:tcPr>
                  <w:tcW w:w="1511" w:type="dxa"/>
                  <w:vAlign w:val="center"/>
                </w:tcPr>
                <w:p>
                  <w:pPr>
                    <w:pStyle w:val="215"/>
                  </w:pPr>
                  <w:r>
                    <w:rPr>
                      <w:rFonts w:hint="eastAsia"/>
                    </w:rPr>
                    <w:t>收集后暂存于危废间，定期委托有资质单位处理</w:t>
                  </w:r>
                </w:p>
              </w:tc>
              <w:tc>
                <w:tcPr>
                  <w:tcW w:w="2685" w:type="dxa"/>
                  <w:vAlign w:val="center"/>
                </w:tcPr>
                <w:p>
                  <w:pPr>
                    <w:pStyle w:val="215"/>
                  </w:pPr>
                  <w:r>
                    <w:rPr>
                      <w:rFonts w:hint="eastAsia"/>
                    </w:rPr>
                    <w:t>《危险废物贮存污染控制标准》（GB18597-2001）及修改单要求</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25" w:hRule="atLeast"/>
                <w:jc w:val="center"/>
              </w:trPr>
              <w:tc>
                <w:tcPr>
                  <w:tcW w:w="681" w:type="dxa"/>
                  <w:vAlign w:val="center"/>
                </w:tcPr>
                <w:p>
                  <w:pPr>
                    <w:pStyle w:val="215"/>
                  </w:pPr>
                  <w:r>
                    <w:t>噪声</w:t>
                  </w:r>
                </w:p>
              </w:tc>
              <w:tc>
                <w:tcPr>
                  <w:tcW w:w="7701" w:type="dxa"/>
                  <w:gridSpan w:val="5"/>
                  <w:vAlign w:val="center"/>
                </w:tcPr>
                <w:p>
                  <w:pPr>
                    <w:pStyle w:val="215"/>
                  </w:pPr>
                  <w:r>
                    <w:t>满足《工业企业厂界环境噪声排放标准》（GB12348-2008）中3类标准要求</w:t>
                  </w:r>
                </w:p>
              </w:tc>
            </w:tr>
          </w:tbl>
          <w:p>
            <w:pPr>
              <w:spacing w:before="120" w:beforeLines="50" w:line="360" w:lineRule="auto"/>
              <w:ind w:firstLine="482" w:firstLineChars="200"/>
              <w:rPr>
                <w:b/>
                <w:bCs/>
                <w:lang w:val="en-GB"/>
              </w:rPr>
            </w:pPr>
            <w:r>
              <w:rPr>
                <w:rFonts w:hint="eastAsia"/>
                <w:b/>
                <w:bCs/>
                <w:lang w:val="en-GB"/>
              </w:rPr>
              <w:t>十二</w:t>
            </w:r>
            <w:r>
              <w:rPr>
                <w:b/>
                <w:bCs/>
                <w:lang w:val="en-GB"/>
              </w:rPr>
              <w:t>、</w:t>
            </w:r>
            <w:r>
              <w:rPr>
                <w:rFonts w:hint="eastAsia"/>
                <w:b/>
                <w:bCs/>
                <w:lang w:val="en-GB"/>
              </w:rPr>
              <w:t>与排污许可制度的衔接</w:t>
            </w:r>
          </w:p>
          <w:p>
            <w:pPr>
              <w:adjustRightInd w:val="0"/>
              <w:snapToGrid w:val="0"/>
              <w:spacing w:line="360" w:lineRule="auto"/>
              <w:ind w:firstLine="480" w:firstLineChars="200"/>
            </w:pPr>
            <w:r>
              <w:rPr>
                <w:rFonts w:hint="eastAsia"/>
              </w:rPr>
              <w:t>企业现有项目已申报排污许可，管理方式为简化管理，登记编号为</w:t>
            </w:r>
            <w:r>
              <w:t>916523000620875276001R</w:t>
            </w:r>
            <w:r>
              <w:rPr>
                <w:rFonts w:hint="eastAsia"/>
              </w:rPr>
              <w:t>。排污许可回执见附件。本此环评手续完成后，要求企业按规定变更排污许可。</w:t>
            </w:r>
          </w:p>
          <w:p>
            <w:pPr>
              <w:adjustRightInd w:val="0"/>
              <w:snapToGrid w:val="0"/>
              <w:spacing w:line="360" w:lineRule="auto"/>
              <w:ind w:firstLine="482" w:firstLineChars="200"/>
              <w:rPr>
                <w:b/>
                <w:color w:val="FF0000"/>
              </w:rPr>
            </w:pPr>
            <w:r>
              <w:rPr>
                <w:rFonts w:hint="eastAsia"/>
                <w:b/>
                <w:color w:val="FF0000"/>
              </w:rPr>
              <w:t>十三、环保效益分析</w:t>
            </w:r>
          </w:p>
          <w:p>
            <w:pPr>
              <w:adjustRightInd w:val="0"/>
              <w:snapToGrid w:val="0"/>
              <w:spacing w:line="360" w:lineRule="auto"/>
              <w:ind w:firstLine="480" w:firstLineChars="200"/>
              <w:rPr>
                <w:rFonts w:ascii="宋体" w:hAnsi="宋体" w:cs="宋体"/>
                <w:color w:val="FF0000"/>
                <w:szCs w:val="21"/>
              </w:rPr>
            </w:pPr>
            <w:r>
              <w:rPr>
                <w:rFonts w:hint="eastAsia" w:ascii="宋体" w:hAnsi="宋体" w:cs="宋体"/>
                <w:color w:val="FF0000"/>
                <w:szCs w:val="21"/>
              </w:rPr>
              <w:t>项目为技术改造项目，主要环境效果体现在以下几个方面：</w:t>
            </w:r>
          </w:p>
          <w:p>
            <w:pPr>
              <w:adjustRightInd w:val="0"/>
              <w:snapToGrid w:val="0"/>
              <w:spacing w:line="360" w:lineRule="auto"/>
              <w:ind w:firstLine="480" w:firstLineChars="200"/>
              <w:rPr>
                <w:rFonts w:ascii="宋体" w:hAnsi="宋体" w:cs="宋体"/>
                <w:color w:val="FF0000"/>
                <w:szCs w:val="21"/>
              </w:rPr>
            </w:pPr>
            <w:r>
              <w:rPr>
                <w:rFonts w:hint="eastAsia" w:ascii="宋体" w:hAnsi="宋体" w:cs="宋体"/>
                <w:color w:val="FF0000"/>
                <w:szCs w:val="21"/>
              </w:rPr>
              <w:t xml:space="preserve">(1)停用现有砂光工序，减少颗粒物的产生； </w:t>
            </w:r>
          </w:p>
          <w:p>
            <w:pPr>
              <w:adjustRightInd w:val="0"/>
              <w:snapToGrid w:val="0"/>
              <w:spacing w:line="360" w:lineRule="auto"/>
              <w:ind w:firstLine="480" w:firstLineChars="200"/>
              <w:rPr>
                <w:rFonts w:ascii="宋体" w:hAnsi="宋体" w:cs="宋体"/>
                <w:color w:val="FF0000"/>
                <w:szCs w:val="21"/>
              </w:rPr>
            </w:pPr>
            <w:r>
              <w:rPr>
                <w:rFonts w:hint="eastAsia" w:ascii="宋体" w:hAnsi="宋体" w:cs="宋体"/>
                <w:color w:val="FF0000"/>
                <w:szCs w:val="21"/>
              </w:rPr>
              <w:t>(2)现有项目有机废气采用UV光氧+活性炭吸附+水幕除尘装置处理，处理效率较低，项目建成后现有项目有机废气可汇入新上RTO热力焚烧炉深度处理，增大有机废气处理效率，减少VOCs排放量。</w:t>
            </w:r>
          </w:p>
          <w:p>
            <w:pPr>
              <w:adjustRightInd w:val="0"/>
              <w:snapToGrid w:val="0"/>
              <w:spacing w:line="360" w:lineRule="auto"/>
              <w:ind w:firstLine="480" w:firstLineChars="200"/>
              <w:rPr>
                <w:rFonts w:ascii="宋体" w:hAnsi="宋体" w:cs="宋体"/>
                <w:szCs w:val="21"/>
              </w:rPr>
            </w:pPr>
            <w:r>
              <w:rPr>
                <w:rFonts w:hint="eastAsia" w:ascii="宋体" w:hAnsi="宋体" w:cs="宋体"/>
                <w:color w:val="FF0000"/>
                <w:szCs w:val="21"/>
              </w:rPr>
              <w:t>(3)现有项目产生废气处理设施产生废UV灯管、废活性炭等危险废物，项目建成后采用RTO热力焚烧炉处理有机废气，无废UV灯管、废活性炭产生，减少了危废产生量，有利于环境保护。</w:t>
            </w:r>
          </w:p>
        </w:tc>
      </w:tr>
    </w:tbl>
    <w:p>
      <w:pPr>
        <w:adjustRightInd w:val="0"/>
        <w:snapToGrid w:val="0"/>
        <w:spacing w:line="360" w:lineRule="auto"/>
        <w:rPr>
          <w:rFonts w:ascii="宋体" w:cs="宋体"/>
          <w:b/>
          <w:kern w:val="0"/>
          <w:sz w:val="28"/>
          <w:szCs w:val="28"/>
        </w:rPr>
        <w:sectPr>
          <w:pgSz w:w="11907" w:h="16840"/>
          <w:pgMar w:top="1701" w:right="1531" w:bottom="2127" w:left="1531" w:header="851" w:footer="851" w:gutter="0"/>
          <w:cols w:space="720" w:num="1"/>
          <w:docGrid w:linePitch="312" w:charSpace="0"/>
        </w:sectPr>
      </w:pPr>
    </w:p>
    <w:p>
      <w:pPr>
        <w:pStyle w:val="44"/>
        <w:jc w:val="center"/>
        <w:outlineLvl w:val="0"/>
        <w:rPr>
          <w:rFonts w:ascii="黑体" w:hAnsi="黑体" w:eastAsia="黑体"/>
          <w:snapToGrid w:val="0"/>
          <w:sz w:val="30"/>
          <w:szCs w:val="30"/>
        </w:rPr>
      </w:pPr>
      <w:bookmarkStart w:id="15" w:name="_Toc86785883"/>
      <w:r>
        <w:rPr>
          <w:rFonts w:hint="eastAsia" w:ascii="黑体" w:hAnsi="黑体" w:eastAsia="黑体"/>
          <w:snapToGrid w:val="0"/>
          <w:sz w:val="30"/>
          <w:szCs w:val="30"/>
        </w:rPr>
        <w:t>五、</w:t>
      </w:r>
      <w:bookmarkStart w:id="16" w:name="_Hlk54167917"/>
      <w:r>
        <w:rPr>
          <w:rFonts w:hint="eastAsia" w:ascii="黑体" w:hAnsi="黑体" w:eastAsia="黑体"/>
          <w:snapToGrid w:val="0"/>
          <w:sz w:val="30"/>
          <w:szCs w:val="30"/>
        </w:rPr>
        <w:t>环境保护措施监督检查清单</w:t>
      </w:r>
      <w:bookmarkEnd w:id="15"/>
      <w:bookmarkEnd w:id="16"/>
    </w:p>
    <w:tbl>
      <w:tblPr>
        <w:tblStyle w:val="50"/>
        <w:tblW w:w="919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1701"/>
        <w:gridCol w:w="1560"/>
        <w:gridCol w:w="1701"/>
        <w:gridCol w:w="31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tcBorders>
              <w:tl2br w:val="single" w:color="auto" w:sz="4" w:space="0"/>
            </w:tcBorders>
          </w:tcPr>
          <w:p>
            <w:pPr>
              <w:adjustRightInd w:val="0"/>
              <w:snapToGrid w:val="0"/>
              <w:ind w:firstLine="315" w:firstLineChars="150"/>
              <w:rPr>
                <w:sz w:val="21"/>
                <w:szCs w:val="21"/>
              </w:rPr>
            </w:pPr>
            <w:r>
              <w:rPr>
                <w:sz w:val="21"/>
                <w:szCs w:val="21"/>
              </w:rPr>
              <w:t>内容</w:t>
            </w:r>
          </w:p>
          <w:p>
            <w:pPr>
              <w:adjustRightInd w:val="0"/>
              <w:snapToGrid w:val="0"/>
              <w:rPr>
                <w:sz w:val="21"/>
                <w:szCs w:val="21"/>
              </w:rPr>
            </w:pPr>
            <w:r>
              <w:rPr>
                <w:sz w:val="21"/>
                <w:szCs w:val="21"/>
              </w:rPr>
              <w:t>要素</w:t>
            </w:r>
          </w:p>
        </w:tc>
        <w:tc>
          <w:tcPr>
            <w:tcW w:w="1701" w:type="dxa"/>
            <w:vAlign w:val="center"/>
          </w:tcPr>
          <w:p>
            <w:pPr>
              <w:adjustRightInd w:val="0"/>
              <w:snapToGrid w:val="0"/>
              <w:jc w:val="center"/>
              <w:rPr>
                <w:sz w:val="21"/>
                <w:szCs w:val="21"/>
              </w:rPr>
            </w:pPr>
            <w:r>
              <w:rPr>
                <w:sz w:val="21"/>
                <w:szCs w:val="21"/>
              </w:rPr>
              <w:t>排放口(编号、</w:t>
            </w:r>
          </w:p>
          <w:p>
            <w:pPr>
              <w:adjustRightInd w:val="0"/>
              <w:snapToGrid w:val="0"/>
              <w:jc w:val="center"/>
              <w:rPr>
                <w:sz w:val="21"/>
                <w:szCs w:val="21"/>
              </w:rPr>
            </w:pPr>
            <w:r>
              <w:rPr>
                <w:sz w:val="21"/>
                <w:szCs w:val="21"/>
              </w:rPr>
              <w:t>名称)/污染源</w:t>
            </w:r>
          </w:p>
        </w:tc>
        <w:tc>
          <w:tcPr>
            <w:tcW w:w="1560" w:type="dxa"/>
            <w:vAlign w:val="center"/>
          </w:tcPr>
          <w:p>
            <w:pPr>
              <w:adjustRightInd w:val="0"/>
              <w:snapToGrid w:val="0"/>
              <w:jc w:val="center"/>
              <w:rPr>
                <w:sz w:val="21"/>
                <w:szCs w:val="21"/>
              </w:rPr>
            </w:pPr>
            <w:r>
              <w:rPr>
                <w:sz w:val="21"/>
                <w:szCs w:val="21"/>
              </w:rPr>
              <w:t>污染物项目</w:t>
            </w:r>
          </w:p>
        </w:tc>
        <w:tc>
          <w:tcPr>
            <w:tcW w:w="1701" w:type="dxa"/>
            <w:vAlign w:val="center"/>
          </w:tcPr>
          <w:p>
            <w:pPr>
              <w:adjustRightInd w:val="0"/>
              <w:snapToGrid w:val="0"/>
              <w:jc w:val="center"/>
              <w:rPr>
                <w:sz w:val="21"/>
                <w:szCs w:val="21"/>
              </w:rPr>
            </w:pPr>
            <w:r>
              <w:rPr>
                <w:sz w:val="21"/>
                <w:szCs w:val="21"/>
              </w:rPr>
              <w:t>环境保护措施</w:t>
            </w:r>
          </w:p>
        </w:tc>
        <w:tc>
          <w:tcPr>
            <w:tcW w:w="3118" w:type="dxa"/>
            <w:vAlign w:val="center"/>
          </w:tcPr>
          <w:p>
            <w:pPr>
              <w:adjustRightInd w:val="0"/>
              <w:snapToGrid w:val="0"/>
              <w:jc w:val="center"/>
              <w:rPr>
                <w:sz w:val="21"/>
                <w:szCs w:val="21"/>
              </w:rPr>
            </w:pPr>
            <w:r>
              <w:rPr>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113" w:type="dxa"/>
            <w:vMerge w:val="restart"/>
            <w:vAlign w:val="center"/>
          </w:tcPr>
          <w:p>
            <w:pPr>
              <w:adjustRightInd w:val="0"/>
              <w:snapToGrid w:val="0"/>
              <w:jc w:val="center"/>
              <w:rPr>
                <w:sz w:val="21"/>
                <w:szCs w:val="21"/>
              </w:rPr>
            </w:pPr>
            <w:r>
              <w:rPr>
                <w:rFonts w:hint="eastAsia"/>
                <w:sz w:val="21"/>
                <w:szCs w:val="21"/>
              </w:rPr>
              <w:t>大气环境</w:t>
            </w:r>
          </w:p>
        </w:tc>
        <w:tc>
          <w:tcPr>
            <w:tcW w:w="1701" w:type="dxa"/>
            <w:vMerge w:val="restart"/>
            <w:vAlign w:val="center"/>
          </w:tcPr>
          <w:p>
            <w:pPr>
              <w:adjustRightInd w:val="0"/>
              <w:snapToGrid w:val="0"/>
              <w:jc w:val="center"/>
              <w:rPr>
                <w:rFonts w:eastAsiaTheme="minorEastAsia"/>
                <w:sz w:val="21"/>
                <w:szCs w:val="21"/>
              </w:rPr>
            </w:pPr>
            <w:r>
              <w:rPr>
                <w:rFonts w:hint="eastAsia" w:eastAsiaTheme="minorEastAsia"/>
                <w:sz w:val="21"/>
                <w:szCs w:val="21"/>
              </w:rPr>
              <w:t>DA002</w:t>
            </w:r>
          </w:p>
        </w:tc>
        <w:tc>
          <w:tcPr>
            <w:tcW w:w="1560" w:type="dxa"/>
            <w:vAlign w:val="center"/>
          </w:tcPr>
          <w:p>
            <w:pPr>
              <w:jc w:val="center"/>
              <w:rPr>
                <w:rFonts w:eastAsiaTheme="minorEastAsia"/>
                <w:sz w:val="21"/>
                <w:szCs w:val="21"/>
              </w:rPr>
            </w:pPr>
            <w:r>
              <w:rPr>
                <w:rFonts w:hint="eastAsia" w:eastAsiaTheme="minorEastAsia"/>
                <w:sz w:val="21"/>
                <w:szCs w:val="21"/>
              </w:rPr>
              <w:t>颗粒物</w:t>
            </w:r>
          </w:p>
        </w:tc>
        <w:tc>
          <w:tcPr>
            <w:tcW w:w="1701" w:type="dxa"/>
            <w:vMerge w:val="restart"/>
            <w:vAlign w:val="center"/>
          </w:tcPr>
          <w:p>
            <w:pPr>
              <w:jc w:val="center"/>
              <w:rPr>
                <w:rFonts w:eastAsiaTheme="minorEastAsia"/>
                <w:sz w:val="21"/>
                <w:szCs w:val="21"/>
              </w:rPr>
            </w:pPr>
            <w:r>
              <w:rPr>
                <w:rFonts w:hint="eastAsia"/>
                <w:sz w:val="21"/>
                <w:szCs w:val="21"/>
              </w:rPr>
              <w:t>脉冲袋式除尘器</w:t>
            </w:r>
          </w:p>
        </w:tc>
        <w:tc>
          <w:tcPr>
            <w:tcW w:w="3118" w:type="dxa"/>
            <w:vMerge w:val="restart"/>
            <w:vAlign w:val="center"/>
          </w:tcPr>
          <w:p>
            <w:pPr>
              <w:jc w:val="center"/>
              <w:rPr>
                <w:rFonts w:eastAsiaTheme="minorEastAsia"/>
                <w:sz w:val="21"/>
                <w:szCs w:val="21"/>
              </w:rPr>
            </w:pPr>
            <w:r>
              <w:rPr>
                <w:rFonts w:hint="eastAsia" w:eastAsiaTheme="minorEastAsia"/>
                <w:sz w:val="21"/>
                <w:szCs w:val="21"/>
              </w:rPr>
              <w:t>《大气污染物综合排放标准》（GB16297-1996）表2二级排放标准要求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Merge w:val="continue"/>
            <w:vAlign w:val="center"/>
          </w:tcPr>
          <w:p>
            <w:pPr>
              <w:adjustRightInd w:val="0"/>
              <w:snapToGrid w:val="0"/>
              <w:jc w:val="center"/>
              <w:rPr>
                <w:rFonts w:eastAsiaTheme="minorEastAsia"/>
                <w:sz w:val="21"/>
                <w:szCs w:val="21"/>
              </w:rPr>
            </w:pPr>
          </w:p>
        </w:tc>
        <w:tc>
          <w:tcPr>
            <w:tcW w:w="1560" w:type="dxa"/>
            <w:vAlign w:val="center"/>
          </w:tcPr>
          <w:p>
            <w:pPr>
              <w:jc w:val="center"/>
              <w:rPr>
                <w:rFonts w:eastAsiaTheme="minorEastAsia"/>
                <w:sz w:val="21"/>
                <w:szCs w:val="21"/>
              </w:rPr>
            </w:pPr>
            <w:r>
              <w:rPr>
                <w:rFonts w:hint="eastAsia" w:eastAsiaTheme="minorEastAsia"/>
                <w:sz w:val="21"/>
                <w:szCs w:val="21"/>
              </w:rPr>
              <w:t>VOCs</w:t>
            </w:r>
          </w:p>
        </w:tc>
        <w:tc>
          <w:tcPr>
            <w:tcW w:w="1701" w:type="dxa"/>
            <w:vMerge w:val="continue"/>
            <w:vAlign w:val="center"/>
          </w:tcPr>
          <w:p>
            <w:pPr>
              <w:jc w:val="center"/>
              <w:rPr>
                <w:rFonts w:eastAsiaTheme="minorEastAsia"/>
                <w:sz w:val="21"/>
                <w:szCs w:val="21"/>
              </w:rPr>
            </w:pPr>
          </w:p>
        </w:tc>
        <w:tc>
          <w:tcPr>
            <w:tcW w:w="3118" w:type="dxa"/>
            <w:vMerge w:val="continue"/>
            <w:vAlign w:val="center"/>
          </w:tcPr>
          <w:p>
            <w:pPr>
              <w:jc w:val="center"/>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Align w:val="center"/>
          </w:tcPr>
          <w:p>
            <w:pPr>
              <w:adjustRightInd w:val="0"/>
              <w:snapToGrid w:val="0"/>
              <w:jc w:val="center"/>
              <w:rPr>
                <w:rFonts w:eastAsiaTheme="minorEastAsia"/>
                <w:sz w:val="21"/>
                <w:szCs w:val="21"/>
              </w:rPr>
            </w:pPr>
            <w:r>
              <w:rPr>
                <w:rFonts w:hint="eastAsia" w:eastAsiaTheme="minorEastAsia"/>
                <w:sz w:val="21"/>
                <w:szCs w:val="21"/>
              </w:rPr>
              <w:t>DA00</w:t>
            </w:r>
            <w:r>
              <w:rPr>
                <w:rFonts w:eastAsiaTheme="minorEastAsia"/>
                <w:sz w:val="21"/>
                <w:szCs w:val="21"/>
              </w:rPr>
              <w:t>4</w:t>
            </w:r>
          </w:p>
        </w:tc>
        <w:tc>
          <w:tcPr>
            <w:tcW w:w="1560" w:type="dxa"/>
            <w:vAlign w:val="center"/>
          </w:tcPr>
          <w:p>
            <w:pPr>
              <w:jc w:val="center"/>
              <w:rPr>
                <w:rFonts w:eastAsiaTheme="minorEastAsia"/>
                <w:sz w:val="21"/>
                <w:szCs w:val="21"/>
              </w:rPr>
            </w:pPr>
            <w:r>
              <w:rPr>
                <w:rFonts w:hint="eastAsia" w:eastAsiaTheme="minorEastAsia"/>
                <w:sz w:val="21"/>
                <w:szCs w:val="21"/>
              </w:rPr>
              <w:t>颗粒物</w:t>
            </w:r>
          </w:p>
        </w:tc>
        <w:tc>
          <w:tcPr>
            <w:tcW w:w="1701" w:type="dxa"/>
            <w:vAlign w:val="center"/>
          </w:tcPr>
          <w:p>
            <w:pPr>
              <w:jc w:val="center"/>
              <w:rPr>
                <w:rFonts w:eastAsiaTheme="minorEastAsia"/>
                <w:sz w:val="21"/>
                <w:szCs w:val="21"/>
              </w:rPr>
            </w:pPr>
            <w:r>
              <w:rPr>
                <w:rFonts w:hint="eastAsia"/>
                <w:sz w:val="21"/>
                <w:szCs w:val="21"/>
              </w:rPr>
              <w:t>集气罩+旋风除尘+脉冲袋式除尘</w:t>
            </w:r>
          </w:p>
        </w:tc>
        <w:tc>
          <w:tcPr>
            <w:tcW w:w="3118" w:type="dxa"/>
            <w:vMerge w:val="continue"/>
            <w:vAlign w:val="center"/>
          </w:tcPr>
          <w:p>
            <w:pPr>
              <w:jc w:val="center"/>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Merge w:val="restart"/>
            <w:vAlign w:val="center"/>
          </w:tcPr>
          <w:p>
            <w:pPr>
              <w:adjustRightInd w:val="0"/>
              <w:snapToGrid w:val="0"/>
              <w:jc w:val="center"/>
              <w:rPr>
                <w:rFonts w:eastAsiaTheme="minorEastAsia"/>
                <w:sz w:val="21"/>
                <w:szCs w:val="21"/>
              </w:rPr>
            </w:pPr>
            <w:r>
              <w:rPr>
                <w:rFonts w:hint="eastAsia" w:eastAsiaTheme="minorEastAsia"/>
                <w:sz w:val="21"/>
                <w:szCs w:val="21"/>
              </w:rPr>
              <w:t>DA</w:t>
            </w:r>
            <w:r>
              <w:rPr>
                <w:rFonts w:eastAsiaTheme="minorEastAsia"/>
                <w:sz w:val="21"/>
                <w:szCs w:val="21"/>
              </w:rPr>
              <w:t>005</w:t>
            </w:r>
          </w:p>
        </w:tc>
        <w:tc>
          <w:tcPr>
            <w:tcW w:w="1560" w:type="dxa"/>
            <w:vAlign w:val="center"/>
          </w:tcPr>
          <w:p>
            <w:pPr>
              <w:jc w:val="center"/>
              <w:rPr>
                <w:rFonts w:eastAsiaTheme="minorEastAsia"/>
                <w:sz w:val="21"/>
                <w:szCs w:val="21"/>
              </w:rPr>
            </w:pPr>
            <w:r>
              <w:rPr>
                <w:rFonts w:hint="eastAsia" w:eastAsiaTheme="minorEastAsia"/>
                <w:sz w:val="21"/>
                <w:szCs w:val="21"/>
              </w:rPr>
              <w:t>VOCs</w:t>
            </w:r>
          </w:p>
        </w:tc>
        <w:tc>
          <w:tcPr>
            <w:tcW w:w="1701" w:type="dxa"/>
            <w:vMerge w:val="restart"/>
            <w:vAlign w:val="center"/>
          </w:tcPr>
          <w:p>
            <w:pPr>
              <w:jc w:val="center"/>
              <w:rPr>
                <w:rFonts w:eastAsiaTheme="minorEastAsia"/>
                <w:sz w:val="21"/>
                <w:szCs w:val="21"/>
              </w:rPr>
            </w:pPr>
            <w:r>
              <w:rPr>
                <w:rFonts w:hint="eastAsia"/>
                <w:sz w:val="21"/>
                <w:szCs w:val="21"/>
              </w:rPr>
              <w:t>集气罩+RTO蓄热式焚烧炉</w:t>
            </w:r>
          </w:p>
        </w:tc>
        <w:tc>
          <w:tcPr>
            <w:tcW w:w="3118" w:type="dxa"/>
            <w:vMerge w:val="continue"/>
            <w:vAlign w:val="center"/>
          </w:tcPr>
          <w:p>
            <w:pPr>
              <w:jc w:val="center"/>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Merge w:val="continue"/>
            <w:vAlign w:val="center"/>
          </w:tcPr>
          <w:p>
            <w:pPr>
              <w:adjustRightInd w:val="0"/>
              <w:snapToGrid w:val="0"/>
              <w:jc w:val="center"/>
              <w:rPr>
                <w:rFonts w:eastAsiaTheme="minorEastAsia"/>
                <w:sz w:val="21"/>
                <w:szCs w:val="21"/>
              </w:rPr>
            </w:pPr>
          </w:p>
        </w:tc>
        <w:tc>
          <w:tcPr>
            <w:tcW w:w="1560" w:type="dxa"/>
            <w:vAlign w:val="center"/>
          </w:tcPr>
          <w:p>
            <w:pPr>
              <w:jc w:val="center"/>
              <w:rPr>
                <w:rFonts w:eastAsiaTheme="minorEastAsia"/>
                <w:sz w:val="21"/>
                <w:szCs w:val="21"/>
              </w:rPr>
            </w:pPr>
            <w:r>
              <w:rPr>
                <w:rFonts w:hint="eastAsia" w:eastAsiaTheme="minorEastAsia"/>
                <w:sz w:val="21"/>
                <w:szCs w:val="21"/>
              </w:rPr>
              <w:t>甲醛</w:t>
            </w:r>
          </w:p>
        </w:tc>
        <w:tc>
          <w:tcPr>
            <w:tcW w:w="1701" w:type="dxa"/>
            <w:vMerge w:val="continue"/>
            <w:vAlign w:val="center"/>
          </w:tcPr>
          <w:p>
            <w:pPr>
              <w:jc w:val="center"/>
              <w:rPr>
                <w:rFonts w:eastAsiaTheme="minorEastAsia"/>
                <w:sz w:val="21"/>
                <w:szCs w:val="21"/>
              </w:rPr>
            </w:pPr>
          </w:p>
        </w:tc>
        <w:tc>
          <w:tcPr>
            <w:tcW w:w="3118" w:type="dxa"/>
            <w:vMerge w:val="continue"/>
            <w:vAlign w:val="center"/>
          </w:tcPr>
          <w:p>
            <w:pPr>
              <w:jc w:val="center"/>
              <w:rPr>
                <w:rFonts w:eastAsiaTheme="minorEastAsia"/>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Merge w:val="restart"/>
            <w:vAlign w:val="center"/>
          </w:tcPr>
          <w:p>
            <w:pPr>
              <w:adjustRightInd w:val="0"/>
              <w:snapToGrid w:val="0"/>
              <w:jc w:val="center"/>
              <w:rPr>
                <w:rFonts w:eastAsiaTheme="minorEastAsia"/>
                <w:sz w:val="21"/>
                <w:szCs w:val="21"/>
              </w:rPr>
            </w:pPr>
            <w:r>
              <w:rPr>
                <w:rFonts w:hint="eastAsia" w:eastAsiaTheme="minorEastAsia"/>
                <w:sz w:val="21"/>
                <w:szCs w:val="21"/>
              </w:rPr>
              <w:t>厂界</w:t>
            </w:r>
          </w:p>
        </w:tc>
        <w:tc>
          <w:tcPr>
            <w:tcW w:w="1560" w:type="dxa"/>
            <w:vAlign w:val="center"/>
          </w:tcPr>
          <w:p>
            <w:pPr>
              <w:jc w:val="center"/>
              <w:rPr>
                <w:rFonts w:eastAsiaTheme="minorEastAsia"/>
                <w:sz w:val="21"/>
                <w:szCs w:val="21"/>
              </w:rPr>
            </w:pPr>
            <w:r>
              <w:rPr>
                <w:rFonts w:hint="eastAsia" w:eastAsiaTheme="minorEastAsia"/>
                <w:sz w:val="21"/>
                <w:szCs w:val="21"/>
              </w:rPr>
              <w:t>颗粒物</w:t>
            </w:r>
          </w:p>
        </w:tc>
        <w:tc>
          <w:tcPr>
            <w:tcW w:w="1701" w:type="dxa"/>
            <w:vAlign w:val="center"/>
          </w:tcPr>
          <w:p>
            <w:pPr>
              <w:jc w:val="center"/>
              <w:rPr>
                <w:rFonts w:eastAsiaTheme="minorEastAsia"/>
                <w:sz w:val="21"/>
                <w:szCs w:val="21"/>
              </w:rPr>
            </w:pPr>
            <w:r>
              <w:rPr>
                <w:rFonts w:hint="eastAsia"/>
                <w:sz w:val="21"/>
                <w:szCs w:val="21"/>
              </w:rPr>
              <w:t>厂区密闭，自然沉降</w:t>
            </w:r>
          </w:p>
        </w:tc>
        <w:tc>
          <w:tcPr>
            <w:tcW w:w="3118" w:type="dxa"/>
            <w:vAlign w:val="center"/>
          </w:tcPr>
          <w:p>
            <w:pPr>
              <w:jc w:val="center"/>
              <w:rPr>
                <w:rFonts w:eastAsiaTheme="minorEastAsia"/>
                <w:sz w:val="21"/>
                <w:szCs w:val="21"/>
              </w:rPr>
            </w:pPr>
            <w:r>
              <w:rPr>
                <w:rFonts w:hint="eastAsia" w:eastAsiaTheme="minorEastAsia"/>
                <w:sz w:val="21"/>
                <w:szCs w:val="21"/>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Merge w:val="continue"/>
            <w:vAlign w:val="center"/>
          </w:tcPr>
          <w:p>
            <w:pPr>
              <w:adjustRightInd w:val="0"/>
              <w:snapToGrid w:val="0"/>
              <w:jc w:val="center"/>
              <w:rPr>
                <w:rFonts w:eastAsiaTheme="minorEastAsia"/>
                <w:sz w:val="21"/>
                <w:szCs w:val="21"/>
              </w:rPr>
            </w:pPr>
          </w:p>
        </w:tc>
        <w:tc>
          <w:tcPr>
            <w:tcW w:w="1560" w:type="dxa"/>
            <w:vAlign w:val="center"/>
          </w:tcPr>
          <w:p>
            <w:pPr>
              <w:jc w:val="center"/>
              <w:rPr>
                <w:rFonts w:eastAsiaTheme="minorEastAsia"/>
                <w:sz w:val="21"/>
                <w:szCs w:val="21"/>
              </w:rPr>
            </w:pPr>
            <w:r>
              <w:rPr>
                <w:rFonts w:hint="eastAsia" w:eastAsiaTheme="minorEastAsia"/>
                <w:sz w:val="21"/>
                <w:szCs w:val="21"/>
              </w:rPr>
              <w:t>VOCs</w:t>
            </w:r>
          </w:p>
        </w:tc>
        <w:tc>
          <w:tcPr>
            <w:tcW w:w="1701" w:type="dxa"/>
            <w:vMerge w:val="restart"/>
            <w:vAlign w:val="center"/>
          </w:tcPr>
          <w:p>
            <w:pPr>
              <w:jc w:val="center"/>
              <w:rPr>
                <w:rFonts w:eastAsiaTheme="minorEastAsia"/>
                <w:sz w:val="21"/>
                <w:szCs w:val="21"/>
              </w:rPr>
            </w:pPr>
            <w:r>
              <w:rPr>
                <w:rFonts w:hint="eastAsia"/>
                <w:sz w:val="21"/>
                <w:szCs w:val="21"/>
              </w:rPr>
              <w:t>厂区密闭</w:t>
            </w:r>
          </w:p>
        </w:tc>
        <w:tc>
          <w:tcPr>
            <w:tcW w:w="3118" w:type="dxa"/>
            <w:vAlign w:val="center"/>
          </w:tcPr>
          <w:p>
            <w:pPr>
              <w:jc w:val="center"/>
              <w:rPr>
                <w:rFonts w:eastAsiaTheme="minorEastAsia"/>
                <w:sz w:val="21"/>
                <w:szCs w:val="21"/>
              </w:rPr>
            </w:pPr>
            <w:r>
              <w:rPr>
                <w:rFonts w:hint="eastAsia" w:eastAsiaTheme="minorEastAsia"/>
                <w:sz w:val="21"/>
                <w:szCs w:val="21"/>
                <w:lang w:val="en-GB"/>
              </w:rPr>
              <w:t>厂内浓度满足</w:t>
            </w:r>
            <w:r>
              <w:rPr>
                <w:rFonts w:eastAsiaTheme="minorEastAsia"/>
                <w:sz w:val="21"/>
                <w:szCs w:val="21"/>
              </w:rPr>
              <w:t>《挥发性有机物无组织排放控制标准》（GB37822-2019）</w:t>
            </w:r>
            <w:r>
              <w:rPr>
                <w:rFonts w:hint="eastAsia" w:eastAsiaTheme="minorEastAsia"/>
                <w:sz w:val="21"/>
                <w:szCs w:val="21"/>
              </w:rPr>
              <w:t>要求，厂界浓度满足《大气污染物综合排放标准》（GB16297-1996）</w:t>
            </w:r>
            <w:r>
              <w:rPr>
                <w:rFonts w:hint="eastAsia" w:eastAsiaTheme="minorEastAsia"/>
                <w:sz w:val="21"/>
                <w:szCs w:val="21"/>
                <w:lang w:val="en-GB"/>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113" w:type="dxa"/>
            <w:vMerge w:val="continue"/>
            <w:vAlign w:val="center"/>
          </w:tcPr>
          <w:p>
            <w:pPr>
              <w:adjustRightInd w:val="0"/>
              <w:snapToGrid w:val="0"/>
              <w:jc w:val="center"/>
              <w:rPr>
                <w:sz w:val="21"/>
                <w:szCs w:val="21"/>
              </w:rPr>
            </w:pPr>
          </w:p>
        </w:tc>
        <w:tc>
          <w:tcPr>
            <w:tcW w:w="1701" w:type="dxa"/>
            <w:vMerge w:val="continue"/>
            <w:vAlign w:val="center"/>
          </w:tcPr>
          <w:p>
            <w:pPr>
              <w:adjustRightInd w:val="0"/>
              <w:snapToGrid w:val="0"/>
              <w:jc w:val="center"/>
              <w:rPr>
                <w:rFonts w:eastAsiaTheme="minorEastAsia"/>
                <w:sz w:val="21"/>
                <w:szCs w:val="21"/>
              </w:rPr>
            </w:pPr>
          </w:p>
        </w:tc>
        <w:tc>
          <w:tcPr>
            <w:tcW w:w="1560" w:type="dxa"/>
            <w:vAlign w:val="center"/>
          </w:tcPr>
          <w:p>
            <w:pPr>
              <w:jc w:val="center"/>
              <w:rPr>
                <w:rFonts w:eastAsiaTheme="minorEastAsia"/>
                <w:sz w:val="21"/>
                <w:szCs w:val="21"/>
              </w:rPr>
            </w:pPr>
            <w:r>
              <w:rPr>
                <w:rFonts w:hint="eastAsia" w:eastAsiaTheme="minorEastAsia"/>
                <w:sz w:val="21"/>
                <w:szCs w:val="21"/>
              </w:rPr>
              <w:t>甲醛</w:t>
            </w:r>
          </w:p>
        </w:tc>
        <w:tc>
          <w:tcPr>
            <w:tcW w:w="1701" w:type="dxa"/>
            <w:vMerge w:val="continue"/>
            <w:vAlign w:val="center"/>
          </w:tcPr>
          <w:p>
            <w:pPr>
              <w:jc w:val="center"/>
              <w:rPr>
                <w:rFonts w:eastAsiaTheme="minorEastAsia"/>
                <w:sz w:val="21"/>
                <w:szCs w:val="21"/>
              </w:rPr>
            </w:pPr>
          </w:p>
        </w:tc>
        <w:tc>
          <w:tcPr>
            <w:tcW w:w="3118" w:type="dxa"/>
            <w:vAlign w:val="center"/>
          </w:tcPr>
          <w:p>
            <w:pPr>
              <w:jc w:val="center"/>
              <w:rPr>
                <w:rFonts w:eastAsiaTheme="minorEastAsia"/>
                <w:sz w:val="21"/>
                <w:szCs w:val="21"/>
              </w:rPr>
            </w:pPr>
            <w:r>
              <w:rPr>
                <w:rFonts w:hint="eastAsia" w:eastAsiaTheme="minorEastAsia"/>
                <w:sz w:val="21"/>
                <w:szCs w:val="21"/>
              </w:rPr>
              <w:t>《大气污染物综合排放标准》（GB16297-1996）表2标准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Align w:val="center"/>
          </w:tcPr>
          <w:p>
            <w:pPr>
              <w:adjustRightInd w:val="0"/>
              <w:snapToGrid w:val="0"/>
              <w:jc w:val="center"/>
              <w:rPr>
                <w:sz w:val="21"/>
                <w:szCs w:val="21"/>
              </w:rPr>
            </w:pPr>
            <w:r>
              <w:rPr>
                <w:sz w:val="21"/>
                <w:szCs w:val="21"/>
              </w:rPr>
              <w:t>声环境</w:t>
            </w:r>
          </w:p>
        </w:tc>
        <w:tc>
          <w:tcPr>
            <w:tcW w:w="1701" w:type="dxa"/>
            <w:vAlign w:val="center"/>
          </w:tcPr>
          <w:p>
            <w:pPr>
              <w:adjustRightInd w:val="0"/>
              <w:snapToGrid w:val="0"/>
              <w:jc w:val="center"/>
              <w:rPr>
                <w:sz w:val="21"/>
                <w:szCs w:val="21"/>
              </w:rPr>
            </w:pPr>
            <w:r>
              <w:rPr>
                <w:rFonts w:hint="eastAsia"/>
                <w:sz w:val="21"/>
                <w:szCs w:val="21"/>
              </w:rPr>
              <w:t>生产设备</w:t>
            </w:r>
          </w:p>
        </w:tc>
        <w:tc>
          <w:tcPr>
            <w:tcW w:w="1560" w:type="dxa"/>
            <w:vAlign w:val="center"/>
          </w:tcPr>
          <w:p>
            <w:pPr>
              <w:adjustRightInd w:val="0"/>
              <w:snapToGrid w:val="0"/>
              <w:jc w:val="center"/>
              <w:rPr>
                <w:sz w:val="21"/>
                <w:szCs w:val="21"/>
              </w:rPr>
            </w:pPr>
            <w:r>
              <w:rPr>
                <w:rFonts w:hint="eastAsia"/>
                <w:sz w:val="21"/>
                <w:szCs w:val="21"/>
              </w:rPr>
              <w:t>等效声级</w:t>
            </w:r>
          </w:p>
        </w:tc>
        <w:tc>
          <w:tcPr>
            <w:tcW w:w="1701" w:type="dxa"/>
            <w:vAlign w:val="center"/>
          </w:tcPr>
          <w:p>
            <w:pPr>
              <w:adjustRightInd w:val="0"/>
              <w:snapToGrid w:val="0"/>
              <w:jc w:val="center"/>
              <w:rPr>
                <w:sz w:val="21"/>
                <w:szCs w:val="21"/>
              </w:rPr>
            </w:pPr>
            <w:r>
              <w:rPr>
                <w:rFonts w:hint="eastAsia"/>
                <w:sz w:val="21"/>
                <w:szCs w:val="21"/>
              </w:rPr>
              <w:t>车间密闭、隔声减震</w:t>
            </w:r>
          </w:p>
        </w:tc>
        <w:tc>
          <w:tcPr>
            <w:tcW w:w="3118" w:type="dxa"/>
            <w:vAlign w:val="center"/>
          </w:tcPr>
          <w:p>
            <w:pPr>
              <w:adjustRightInd w:val="0"/>
              <w:snapToGrid w:val="0"/>
              <w:jc w:val="center"/>
              <w:rPr>
                <w:sz w:val="21"/>
                <w:szCs w:val="21"/>
              </w:rPr>
            </w:pPr>
            <w:r>
              <w:rPr>
                <w:rFonts w:hint="eastAsia"/>
                <w:sz w:val="21"/>
                <w:szCs w:val="21"/>
              </w:rPr>
              <w:t>《工业企业厂界环境噪声排放标准》（GB12348-2008）</w:t>
            </w:r>
            <w:r>
              <w:rPr>
                <w:sz w:val="21"/>
                <w:szCs w:val="21"/>
              </w:rPr>
              <w:t>3</w:t>
            </w:r>
            <w:r>
              <w:rPr>
                <w:rFonts w:hint="eastAsia"/>
                <w:sz w:val="21"/>
                <w:szCs w:val="21"/>
              </w:rPr>
              <w:t>类标准（昼间≤6</w:t>
            </w:r>
            <w:r>
              <w:rPr>
                <w:sz w:val="21"/>
                <w:szCs w:val="21"/>
              </w:rPr>
              <w:t>5</w:t>
            </w:r>
            <w:r>
              <w:rPr>
                <w:rFonts w:hint="eastAsia"/>
                <w:sz w:val="21"/>
                <w:szCs w:val="21"/>
              </w:rPr>
              <w:t>dB（A），夜间≤</w:t>
            </w:r>
            <w:r>
              <w:rPr>
                <w:sz w:val="21"/>
                <w:szCs w:val="21"/>
              </w:rPr>
              <w:t>55</w:t>
            </w:r>
            <w:r>
              <w:rPr>
                <w:rFonts w:hint="eastAsia"/>
                <w:sz w:val="21"/>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13" w:type="dxa"/>
            <w:vAlign w:val="center"/>
          </w:tcPr>
          <w:p>
            <w:pPr>
              <w:adjustRightInd w:val="0"/>
              <w:snapToGrid w:val="0"/>
              <w:jc w:val="center"/>
              <w:rPr>
                <w:sz w:val="21"/>
                <w:szCs w:val="21"/>
              </w:rPr>
            </w:pPr>
            <w:r>
              <w:rPr>
                <w:sz w:val="21"/>
                <w:szCs w:val="21"/>
              </w:rPr>
              <w:t>电磁辐射</w:t>
            </w:r>
          </w:p>
        </w:tc>
        <w:tc>
          <w:tcPr>
            <w:tcW w:w="8080" w:type="dxa"/>
            <w:gridSpan w:val="4"/>
            <w:vAlign w:val="center"/>
          </w:tcPr>
          <w:p>
            <w:pPr>
              <w:adjustRightInd w:val="0"/>
              <w:snapToGrid w:val="0"/>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13" w:type="dxa"/>
            <w:vMerge w:val="restart"/>
            <w:vAlign w:val="center"/>
          </w:tcPr>
          <w:p>
            <w:pPr>
              <w:adjustRightInd w:val="0"/>
              <w:snapToGrid w:val="0"/>
              <w:jc w:val="center"/>
              <w:rPr>
                <w:sz w:val="21"/>
                <w:szCs w:val="21"/>
              </w:rPr>
            </w:pPr>
            <w:r>
              <w:rPr>
                <w:sz w:val="21"/>
                <w:szCs w:val="21"/>
              </w:rPr>
              <w:t>固体废物</w:t>
            </w:r>
          </w:p>
        </w:tc>
        <w:tc>
          <w:tcPr>
            <w:tcW w:w="1701" w:type="dxa"/>
            <w:vMerge w:val="restart"/>
            <w:vAlign w:val="center"/>
          </w:tcPr>
          <w:p>
            <w:pPr>
              <w:jc w:val="center"/>
              <w:rPr>
                <w:sz w:val="21"/>
                <w:szCs w:val="21"/>
                <w:lang w:val="en-GB"/>
              </w:rPr>
            </w:pPr>
            <w:r>
              <w:rPr>
                <w:sz w:val="21"/>
                <w:szCs w:val="21"/>
              </w:rPr>
              <w:t>一般固废</w:t>
            </w:r>
          </w:p>
        </w:tc>
        <w:tc>
          <w:tcPr>
            <w:tcW w:w="1560" w:type="dxa"/>
            <w:vAlign w:val="center"/>
          </w:tcPr>
          <w:p>
            <w:pPr>
              <w:jc w:val="center"/>
              <w:rPr>
                <w:rFonts w:eastAsiaTheme="minorEastAsia"/>
                <w:sz w:val="21"/>
                <w:szCs w:val="21"/>
              </w:rPr>
            </w:pPr>
            <w:r>
              <w:rPr>
                <w:rFonts w:hint="eastAsia"/>
                <w:sz w:val="21"/>
                <w:szCs w:val="21"/>
              </w:rPr>
              <w:t>粉尘</w:t>
            </w:r>
          </w:p>
        </w:tc>
        <w:tc>
          <w:tcPr>
            <w:tcW w:w="1701" w:type="dxa"/>
            <w:vAlign w:val="center"/>
          </w:tcPr>
          <w:p>
            <w:pPr>
              <w:jc w:val="center"/>
              <w:rPr>
                <w:rFonts w:eastAsiaTheme="minorEastAsia"/>
                <w:sz w:val="21"/>
                <w:szCs w:val="21"/>
              </w:rPr>
            </w:pPr>
            <w:r>
              <w:rPr>
                <w:rFonts w:hint="eastAsia"/>
                <w:sz w:val="21"/>
                <w:szCs w:val="21"/>
              </w:rPr>
              <w:t>回用</w:t>
            </w:r>
          </w:p>
        </w:tc>
        <w:tc>
          <w:tcPr>
            <w:tcW w:w="3118" w:type="dxa"/>
            <w:vMerge w:val="restart"/>
            <w:vAlign w:val="center"/>
          </w:tcPr>
          <w:p>
            <w:pPr>
              <w:adjustRightInd w:val="0"/>
              <w:snapToGrid w:val="0"/>
              <w:jc w:val="center"/>
              <w:rPr>
                <w:sz w:val="21"/>
                <w:szCs w:val="21"/>
              </w:rPr>
            </w:pPr>
            <w:r>
              <w:rPr>
                <w:sz w:val="21"/>
                <w:szCs w:val="21"/>
              </w:rPr>
              <w:t>满足</w:t>
            </w:r>
            <w:r>
              <w:rPr>
                <w:rFonts w:hint="eastAsia"/>
                <w:sz w:val="21"/>
                <w:szCs w:val="21"/>
              </w:rPr>
              <w:t>《一般工业固体废物贮存和填埋 污染控制标准》（GB18599-2020）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113" w:type="dxa"/>
            <w:vMerge w:val="continue"/>
            <w:vAlign w:val="center"/>
          </w:tcPr>
          <w:p>
            <w:pPr>
              <w:adjustRightInd w:val="0"/>
              <w:snapToGrid w:val="0"/>
              <w:jc w:val="center"/>
              <w:rPr>
                <w:sz w:val="21"/>
                <w:szCs w:val="21"/>
              </w:rPr>
            </w:pPr>
          </w:p>
        </w:tc>
        <w:tc>
          <w:tcPr>
            <w:tcW w:w="1701" w:type="dxa"/>
            <w:vMerge w:val="continue"/>
            <w:vAlign w:val="center"/>
          </w:tcPr>
          <w:p>
            <w:pPr>
              <w:jc w:val="center"/>
              <w:rPr>
                <w:sz w:val="21"/>
                <w:szCs w:val="21"/>
                <w:lang w:val="en-GB"/>
              </w:rPr>
            </w:pPr>
          </w:p>
        </w:tc>
        <w:tc>
          <w:tcPr>
            <w:tcW w:w="1560" w:type="dxa"/>
            <w:vAlign w:val="center"/>
          </w:tcPr>
          <w:p>
            <w:pPr>
              <w:jc w:val="center"/>
              <w:rPr>
                <w:kern w:val="0"/>
                <w:sz w:val="21"/>
                <w:szCs w:val="21"/>
              </w:rPr>
            </w:pPr>
            <w:r>
              <w:rPr>
                <w:rFonts w:hint="eastAsia"/>
                <w:sz w:val="21"/>
                <w:szCs w:val="21"/>
              </w:rPr>
              <w:t>废边角料</w:t>
            </w:r>
          </w:p>
        </w:tc>
        <w:tc>
          <w:tcPr>
            <w:tcW w:w="1701" w:type="dxa"/>
            <w:vAlign w:val="center"/>
          </w:tcPr>
          <w:p>
            <w:pPr>
              <w:jc w:val="center"/>
              <w:rPr>
                <w:kern w:val="0"/>
                <w:sz w:val="21"/>
                <w:szCs w:val="21"/>
              </w:rPr>
            </w:pPr>
            <w:r>
              <w:rPr>
                <w:rFonts w:hint="eastAsia"/>
                <w:sz w:val="21"/>
                <w:szCs w:val="21"/>
              </w:rPr>
              <w:t>回用</w:t>
            </w:r>
          </w:p>
        </w:tc>
        <w:tc>
          <w:tcPr>
            <w:tcW w:w="3118" w:type="dxa"/>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1113" w:type="dxa"/>
            <w:vMerge w:val="continue"/>
            <w:vAlign w:val="center"/>
          </w:tcPr>
          <w:p>
            <w:pPr>
              <w:adjustRightInd w:val="0"/>
              <w:snapToGrid w:val="0"/>
              <w:jc w:val="center"/>
              <w:rPr>
                <w:sz w:val="21"/>
                <w:szCs w:val="21"/>
              </w:rPr>
            </w:pPr>
          </w:p>
        </w:tc>
        <w:tc>
          <w:tcPr>
            <w:tcW w:w="1701" w:type="dxa"/>
            <w:vMerge w:val="continue"/>
            <w:vAlign w:val="center"/>
          </w:tcPr>
          <w:p>
            <w:pPr>
              <w:jc w:val="center"/>
              <w:rPr>
                <w:sz w:val="21"/>
                <w:szCs w:val="21"/>
                <w:lang w:val="en-GB"/>
              </w:rPr>
            </w:pPr>
          </w:p>
        </w:tc>
        <w:tc>
          <w:tcPr>
            <w:tcW w:w="1560" w:type="dxa"/>
            <w:vAlign w:val="center"/>
          </w:tcPr>
          <w:p>
            <w:pPr>
              <w:jc w:val="center"/>
              <w:rPr>
                <w:kern w:val="0"/>
                <w:sz w:val="21"/>
                <w:szCs w:val="21"/>
              </w:rPr>
            </w:pPr>
            <w:r>
              <w:rPr>
                <w:rFonts w:hint="eastAsia"/>
                <w:sz w:val="21"/>
                <w:szCs w:val="21"/>
              </w:rPr>
              <w:t>不合格品</w:t>
            </w:r>
          </w:p>
        </w:tc>
        <w:tc>
          <w:tcPr>
            <w:tcW w:w="1701" w:type="dxa"/>
            <w:vAlign w:val="center"/>
          </w:tcPr>
          <w:p>
            <w:pPr>
              <w:jc w:val="center"/>
              <w:rPr>
                <w:kern w:val="0"/>
                <w:sz w:val="21"/>
                <w:szCs w:val="21"/>
              </w:rPr>
            </w:pPr>
            <w:r>
              <w:rPr>
                <w:rFonts w:hint="eastAsia"/>
                <w:sz w:val="21"/>
                <w:szCs w:val="21"/>
              </w:rPr>
              <w:t>回用</w:t>
            </w:r>
          </w:p>
        </w:tc>
        <w:tc>
          <w:tcPr>
            <w:tcW w:w="3118" w:type="dxa"/>
            <w:vMerge w:val="continue"/>
            <w:vAlign w:val="center"/>
          </w:tcPr>
          <w:p>
            <w:pPr>
              <w:adjustRightInd w:val="0"/>
              <w:snapToGrid w:val="0"/>
              <w:jc w:val="center"/>
              <w:rPr>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113" w:type="dxa"/>
            <w:vMerge w:val="continue"/>
            <w:vAlign w:val="center"/>
          </w:tcPr>
          <w:p>
            <w:pPr>
              <w:adjustRightInd w:val="0"/>
              <w:snapToGrid w:val="0"/>
              <w:jc w:val="center"/>
              <w:rPr>
                <w:sz w:val="21"/>
                <w:szCs w:val="21"/>
              </w:rPr>
            </w:pPr>
          </w:p>
        </w:tc>
        <w:tc>
          <w:tcPr>
            <w:tcW w:w="1701" w:type="dxa"/>
            <w:vAlign w:val="center"/>
          </w:tcPr>
          <w:p>
            <w:pPr>
              <w:jc w:val="center"/>
              <w:rPr>
                <w:sz w:val="21"/>
                <w:szCs w:val="21"/>
                <w:lang w:val="en-GB"/>
              </w:rPr>
            </w:pPr>
            <w:r>
              <w:rPr>
                <w:rFonts w:hint="eastAsia"/>
                <w:sz w:val="21"/>
                <w:szCs w:val="21"/>
              </w:rPr>
              <w:t>危险废物</w:t>
            </w:r>
          </w:p>
        </w:tc>
        <w:tc>
          <w:tcPr>
            <w:tcW w:w="1560" w:type="dxa"/>
            <w:vAlign w:val="center"/>
          </w:tcPr>
          <w:p>
            <w:pPr>
              <w:jc w:val="center"/>
              <w:rPr>
                <w:kern w:val="0"/>
                <w:sz w:val="21"/>
                <w:szCs w:val="21"/>
              </w:rPr>
            </w:pPr>
            <w:r>
              <w:rPr>
                <w:rFonts w:hint="eastAsia"/>
                <w:sz w:val="21"/>
                <w:szCs w:val="21"/>
              </w:rPr>
              <w:t>废导热油</w:t>
            </w:r>
          </w:p>
        </w:tc>
        <w:tc>
          <w:tcPr>
            <w:tcW w:w="1701" w:type="dxa"/>
            <w:vAlign w:val="center"/>
          </w:tcPr>
          <w:p>
            <w:pPr>
              <w:jc w:val="center"/>
              <w:rPr>
                <w:kern w:val="0"/>
                <w:sz w:val="21"/>
                <w:szCs w:val="21"/>
              </w:rPr>
            </w:pPr>
            <w:r>
              <w:rPr>
                <w:rFonts w:hint="eastAsia"/>
                <w:kern w:val="0"/>
                <w:sz w:val="21"/>
                <w:szCs w:val="21"/>
              </w:rPr>
              <w:t>收集后暂存于危废间，定期委托有资质单位处理</w:t>
            </w:r>
          </w:p>
        </w:tc>
        <w:tc>
          <w:tcPr>
            <w:tcW w:w="3118" w:type="dxa"/>
            <w:vAlign w:val="center"/>
          </w:tcPr>
          <w:p>
            <w:pPr>
              <w:adjustRightInd w:val="0"/>
              <w:snapToGrid w:val="0"/>
              <w:jc w:val="center"/>
              <w:rPr>
                <w:sz w:val="21"/>
                <w:szCs w:val="21"/>
              </w:rPr>
            </w:pPr>
            <w:r>
              <w:rPr>
                <w:rFonts w:hint="eastAsia"/>
                <w:sz w:val="21"/>
                <w:szCs w:val="21"/>
              </w:rPr>
              <w:t>《危险废物贮存污染控制标准》（GB18597-2001）及修改单要求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7" w:hRule="atLeast"/>
          <w:jc w:val="center"/>
        </w:trPr>
        <w:tc>
          <w:tcPr>
            <w:tcW w:w="1113" w:type="dxa"/>
            <w:vAlign w:val="center"/>
          </w:tcPr>
          <w:p>
            <w:pPr>
              <w:adjustRightInd w:val="0"/>
              <w:snapToGrid w:val="0"/>
              <w:jc w:val="center"/>
              <w:rPr>
                <w:sz w:val="21"/>
                <w:szCs w:val="21"/>
              </w:rPr>
            </w:pPr>
            <w:r>
              <w:rPr>
                <w:sz w:val="21"/>
                <w:szCs w:val="21"/>
              </w:rPr>
              <w:t>土壤及地下水污染防治措施</w:t>
            </w:r>
          </w:p>
        </w:tc>
        <w:tc>
          <w:tcPr>
            <w:tcW w:w="8080" w:type="dxa"/>
            <w:gridSpan w:val="4"/>
            <w:vAlign w:val="center"/>
          </w:tcPr>
          <w:p>
            <w:pPr>
              <w:adjustRightInd w:val="0"/>
              <w:snapToGrid w:val="0"/>
              <w:ind w:firstLine="420" w:firstLineChars="200"/>
              <w:jc w:val="left"/>
              <w:rPr>
                <w:sz w:val="21"/>
                <w:szCs w:val="21"/>
              </w:rPr>
            </w:pPr>
            <w:r>
              <w:rPr>
                <w:rFonts w:hint="eastAsia"/>
                <w:sz w:val="21"/>
                <w:szCs w:val="21"/>
              </w:rPr>
              <w:t>按照“源头控制、分区防治、污染监控、应急响应”的原则。工程生产运行过程中要建立健全地下水保护与污染防治的措施与方法；必须采取必要的监测制度，一旦发现地下水遭受污染，就应及时采取措施，防微杜渐；尽量减少污染物进入地下含水层的机会和数量。源头控制措施主要包括对污水管道采取相应措施，防止跑、冒、滴、漏，将污染物泄漏的环境风险事故降到最低程度，做到污染物“早发现、早处理”，减少由于埋地管道泄漏而造成的地下水污染。</w:t>
            </w:r>
          </w:p>
          <w:p>
            <w:pPr>
              <w:adjustRightInd w:val="0"/>
              <w:snapToGrid w:val="0"/>
              <w:ind w:firstLine="420" w:firstLineChars="200"/>
              <w:jc w:val="left"/>
              <w:rPr>
                <w:sz w:val="21"/>
                <w:szCs w:val="21"/>
              </w:rPr>
            </w:pPr>
            <w:r>
              <w:rPr>
                <w:sz w:val="21"/>
                <w:szCs w:val="21"/>
              </w:rPr>
              <w:t>采取分区防渗措施，</w:t>
            </w:r>
            <w:r>
              <w:rPr>
                <w:rFonts w:hint="eastAsia"/>
                <w:sz w:val="21"/>
                <w:szCs w:val="21"/>
              </w:rPr>
              <w:t>危废暂存间重点防渗；一般固废区、锅炉区、污水管道、生产车间一般防渗；厂区路面、办公室简单防渗</w:t>
            </w:r>
            <w:r>
              <w:rPr>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1113" w:type="dxa"/>
            <w:vAlign w:val="center"/>
          </w:tcPr>
          <w:p>
            <w:pPr>
              <w:adjustRightInd w:val="0"/>
              <w:snapToGrid w:val="0"/>
              <w:jc w:val="center"/>
              <w:rPr>
                <w:sz w:val="21"/>
                <w:szCs w:val="21"/>
              </w:rPr>
            </w:pPr>
            <w:r>
              <w:rPr>
                <w:sz w:val="21"/>
                <w:szCs w:val="21"/>
              </w:rPr>
              <w:t>生态保护措施</w:t>
            </w:r>
          </w:p>
        </w:tc>
        <w:tc>
          <w:tcPr>
            <w:tcW w:w="8080" w:type="dxa"/>
            <w:gridSpan w:val="4"/>
            <w:vAlign w:val="center"/>
          </w:tcPr>
          <w:p>
            <w:pPr>
              <w:adjustRightInd w:val="0"/>
              <w:snapToGrid w:val="0"/>
              <w:jc w:val="left"/>
              <w:rPr>
                <w:sz w:val="21"/>
                <w:szCs w:val="21"/>
              </w:rPr>
            </w:pPr>
            <w:r>
              <w:rPr>
                <w:sz w:val="21"/>
                <w:szCs w:val="21"/>
              </w:rPr>
              <w:t>本项目位于</w:t>
            </w:r>
            <w:r>
              <w:rPr>
                <w:rFonts w:hint="eastAsia"/>
                <w:sz w:val="21"/>
                <w:szCs w:val="21"/>
              </w:rPr>
              <w:t>昌吉高新区</w:t>
            </w:r>
            <w:r>
              <w:rPr>
                <w:sz w:val="21"/>
                <w:szCs w:val="21"/>
              </w:rPr>
              <w:t>，</w:t>
            </w:r>
            <w:r>
              <w:rPr>
                <w:rFonts w:hint="eastAsia"/>
                <w:sz w:val="21"/>
                <w:szCs w:val="21"/>
              </w:rPr>
              <w:t>建设范围内无生态环境敏感目标，不需设置生态保护措施。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113" w:type="dxa"/>
            <w:vAlign w:val="center"/>
          </w:tcPr>
          <w:p>
            <w:pPr>
              <w:adjustRightInd w:val="0"/>
              <w:snapToGrid w:val="0"/>
              <w:jc w:val="center"/>
              <w:rPr>
                <w:spacing w:val="-8"/>
                <w:sz w:val="21"/>
                <w:szCs w:val="21"/>
              </w:rPr>
            </w:pPr>
            <w:r>
              <w:rPr>
                <w:spacing w:val="-8"/>
                <w:sz w:val="21"/>
                <w:szCs w:val="21"/>
              </w:rPr>
              <w:t>环境风险防范措施</w:t>
            </w:r>
          </w:p>
        </w:tc>
        <w:tc>
          <w:tcPr>
            <w:tcW w:w="8080" w:type="dxa"/>
            <w:gridSpan w:val="4"/>
            <w:vAlign w:val="center"/>
          </w:tcPr>
          <w:p>
            <w:pPr>
              <w:adjustRightInd w:val="0"/>
              <w:snapToGrid w:val="0"/>
              <w:ind w:firstLine="420" w:firstLineChars="200"/>
              <w:jc w:val="left"/>
              <w:rPr>
                <w:sz w:val="21"/>
                <w:szCs w:val="21"/>
              </w:rPr>
            </w:pPr>
            <w:r>
              <w:rPr>
                <w:rFonts w:hint="eastAsia"/>
                <w:sz w:val="21"/>
                <w:szCs w:val="21"/>
              </w:rPr>
              <w:t>项目区应尽量减少原料的储存量，原料暂存区、车间严禁烟火，采取严格的防火措施，并配备灭火器、消防砂等应急救援物资。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1113" w:type="dxa"/>
            <w:vAlign w:val="center"/>
          </w:tcPr>
          <w:p>
            <w:pPr>
              <w:adjustRightInd w:val="0"/>
              <w:snapToGrid w:val="0"/>
              <w:jc w:val="center"/>
              <w:rPr>
                <w:spacing w:val="-8"/>
                <w:sz w:val="21"/>
                <w:szCs w:val="21"/>
              </w:rPr>
            </w:pPr>
            <w:r>
              <w:rPr>
                <w:spacing w:val="-8"/>
                <w:sz w:val="21"/>
                <w:szCs w:val="21"/>
              </w:rPr>
              <w:t>其他环境管理要求</w:t>
            </w:r>
          </w:p>
        </w:tc>
        <w:tc>
          <w:tcPr>
            <w:tcW w:w="8080" w:type="dxa"/>
            <w:gridSpan w:val="4"/>
            <w:vAlign w:val="center"/>
          </w:tcPr>
          <w:p>
            <w:pPr>
              <w:adjustRightInd w:val="0"/>
              <w:snapToGrid w:val="0"/>
              <w:jc w:val="center"/>
              <w:rPr>
                <w:sz w:val="21"/>
                <w:szCs w:val="21"/>
              </w:rPr>
            </w:pPr>
            <w:r>
              <w:rPr>
                <w:rFonts w:hint="eastAsia"/>
                <w:sz w:val="21"/>
                <w:szCs w:val="21"/>
              </w:rPr>
              <w:t>/</w:t>
            </w:r>
          </w:p>
        </w:tc>
      </w:tr>
    </w:tbl>
    <w:p>
      <w:pPr>
        <w:pStyle w:val="44"/>
        <w:jc w:val="center"/>
        <w:outlineLvl w:val="0"/>
        <w:rPr>
          <w:rFonts w:ascii="黑体" w:hAnsi="黑体" w:eastAsia="黑体"/>
          <w:snapToGrid w:val="0"/>
          <w:sz w:val="30"/>
          <w:szCs w:val="30"/>
        </w:rPr>
      </w:pPr>
      <w:r>
        <w:rPr>
          <w:snapToGrid w:val="0"/>
        </w:rPr>
        <w:br w:type="page"/>
      </w:r>
      <w:bookmarkStart w:id="17" w:name="_Toc86785884"/>
      <w:r>
        <w:rPr>
          <w:rFonts w:hint="eastAsia" w:ascii="黑体" w:hAnsi="黑体" w:eastAsia="黑体"/>
          <w:snapToGrid w:val="0"/>
          <w:sz w:val="30"/>
          <w:szCs w:val="30"/>
        </w:rPr>
        <w:t>六、结论</w:t>
      </w:r>
      <w:bookmarkEnd w:id="17"/>
    </w:p>
    <w:tbl>
      <w:tblPr>
        <w:tblStyle w:val="5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360" w:lineRule="auto"/>
              <w:ind w:firstLine="480" w:firstLineChars="200"/>
              <w:rPr>
                <w:rFonts w:ascii="宋体" w:cs="宋体"/>
              </w:rPr>
            </w:pPr>
            <w:r>
              <w:rPr>
                <w:rFonts w:hint="eastAsia" w:ascii="宋体" w:cs="宋体"/>
              </w:rPr>
              <w:t>本项目刨花板技术改造项目，位于新疆昌吉州昌吉市高新技术产业开发区北环西路11号，本项目生产工艺简单，产生污染物量少，在严格执行环评提出的环保措施后，项目对周围环境空气、地表水、地下水、声环境影响较小。从环境保护角度分析，在落实环评提出的各项污染防治措施的前提下，该项目的建设是可行的。</w:t>
            </w:r>
          </w:p>
        </w:tc>
      </w:tr>
    </w:tbl>
    <w:p>
      <w:pPr>
        <w:rPr>
          <w:rFonts w:ascii="宋体"/>
        </w:rPr>
        <w:sectPr>
          <w:pgSz w:w="11906" w:h="16838"/>
          <w:pgMar w:top="1701" w:right="1531" w:bottom="1701" w:left="1531" w:header="851" w:footer="851" w:gutter="0"/>
          <w:cols w:space="720" w:num="1"/>
          <w:docGrid w:linePitch="312" w:charSpace="0"/>
        </w:sectPr>
      </w:pPr>
    </w:p>
    <w:p>
      <w:pPr>
        <w:pStyle w:val="44"/>
        <w:adjustRightInd w:val="0"/>
        <w:snapToGrid w:val="0"/>
        <w:spacing w:before="0" w:beforeAutospacing="0" w:after="0" w:afterAutospacing="0" w:line="360" w:lineRule="auto"/>
        <w:outlineLvl w:val="0"/>
        <w:rPr>
          <w:rFonts w:ascii="黑体" w:hAnsi="黑体" w:eastAsia="黑体"/>
          <w:snapToGrid w:val="0"/>
          <w:sz w:val="32"/>
          <w:szCs w:val="32"/>
        </w:rPr>
      </w:pPr>
      <w:bookmarkStart w:id="18" w:name="_Toc86785885"/>
      <w:r>
        <w:rPr>
          <w:rFonts w:hint="eastAsia" w:ascii="黑体" w:hAnsi="黑体" w:eastAsia="黑体"/>
          <w:snapToGrid w:val="0"/>
          <w:sz w:val="32"/>
          <w:szCs w:val="32"/>
        </w:rPr>
        <w:t>附表</w:t>
      </w:r>
      <w:bookmarkEnd w:id="18"/>
    </w:p>
    <w:p>
      <w:pPr>
        <w:pStyle w:val="44"/>
        <w:adjustRightInd w:val="0"/>
        <w:snapToGrid w:val="0"/>
        <w:spacing w:before="0" w:beforeAutospacing="0" w:after="0" w:afterAutospacing="0" w:line="360" w:lineRule="auto"/>
        <w:jc w:val="center"/>
        <w:outlineLvl w:val="0"/>
        <w:rPr>
          <w:rFonts w:ascii="方正小标宋_GBK" w:hAnsi="黑体" w:eastAsia="方正小标宋_GBK"/>
          <w:snapToGrid w:val="0"/>
          <w:sz w:val="38"/>
          <w:szCs w:val="38"/>
        </w:rPr>
      </w:pPr>
      <w:bookmarkStart w:id="19" w:name="_Toc86785886"/>
      <w:r>
        <w:rPr>
          <w:rFonts w:hint="eastAsia" w:ascii="方正小标宋_GBK" w:hAnsi="黑体" w:eastAsia="方正小标宋_GBK"/>
          <w:snapToGrid w:val="0"/>
          <w:sz w:val="38"/>
          <w:szCs w:val="38"/>
        </w:rPr>
        <w:t>建设项目污染物排放量汇总表</w:t>
      </w:r>
      <w:bookmarkEnd w:id="19"/>
    </w:p>
    <w:tbl>
      <w:tblPr>
        <w:tblStyle w:val="50"/>
        <w:tblW w:w="13940"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394"/>
        <w:gridCol w:w="1674"/>
        <w:gridCol w:w="1256"/>
        <w:gridCol w:w="1674"/>
        <w:gridCol w:w="1534"/>
        <w:gridCol w:w="1733"/>
        <w:gridCol w:w="1928"/>
        <w:gridCol w:w="118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563" w:type="dxa"/>
            <w:tcBorders>
              <w:tl2br w:val="single" w:color="auto" w:sz="4" w:space="0"/>
            </w:tcBorders>
            <w:tcMar>
              <w:left w:w="28" w:type="dxa"/>
              <w:right w:w="28" w:type="dxa"/>
            </w:tcMar>
            <w:vAlign w:val="center"/>
          </w:tcPr>
          <w:p>
            <w:pPr>
              <w:pStyle w:val="77"/>
              <w:spacing w:beforeLines="0" w:afterLines="0" w:line="360" w:lineRule="auto"/>
              <w:rPr>
                <w:sz w:val="21"/>
                <w:szCs w:val="21"/>
              </w:rPr>
            </w:pPr>
            <w:r>
              <w:rPr>
                <w:rFonts w:ascii="Times New Roman" w:eastAsia="黑体"/>
                <w:snapToGrid w:val="0"/>
                <w:spacing w:val="-6"/>
                <w:kern w:val="21"/>
                <w:sz w:val="21"/>
                <w:szCs w:val="21"/>
              </w:rPr>
              <w:t>项目</w:t>
            </w:r>
          </w:p>
          <w:p>
            <w:pPr>
              <w:pStyle w:val="77"/>
              <w:spacing w:beforeLines="0" w:afterLines="0" w:line="360" w:lineRule="auto"/>
              <w:rPr>
                <w:rFonts w:ascii="Times New Roman" w:eastAsia="黑体"/>
                <w:snapToGrid w:val="0"/>
                <w:spacing w:val="-6"/>
                <w:kern w:val="21"/>
                <w:sz w:val="21"/>
                <w:szCs w:val="21"/>
              </w:rPr>
            </w:pPr>
            <w:r>
              <w:rPr>
                <w:rFonts w:ascii="Times New Roman" w:eastAsia="黑体"/>
                <w:snapToGrid w:val="0"/>
                <w:spacing w:val="-6"/>
                <w:kern w:val="21"/>
                <w:sz w:val="21"/>
                <w:szCs w:val="21"/>
              </w:rPr>
              <w:t>分类</w:t>
            </w:r>
          </w:p>
        </w:tc>
        <w:tc>
          <w:tcPr>
            <w:tcW w:w="1394" w:type="dxa"/>
            <w:tcMar>
              <w:left w:w="28" w:type="dxa"/>
              <w:right w:w="28" w:type="dxa"/>
            </w:tcMar>
            <w:vAlign w:val="center"/>
          </w:tcPr>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污染物名称</w:t>
            </w:r>
          </w:p>
        </w:tc>
        <w:tc>
          <w:tcPr>
            <w:tcW w:w="1674" w:type="dxa"/>
            <w:tcMar>
              <w:left w:w="28" w:type="dxa"/>
              <w:right w:w="28" w:type="dxa"/>
            </w:tcMar>
            <w:vAlign w:val="center"/>
          </w:tcPr>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hint="eastAsia" w:hAnsi="宋体" w:cs="宋体"/>
                <w:snapToGrid w:val="0"/>
                <w:spacing w:val="-6"/>
                <w:kern w:val="21"/>
                <w:sz w:val="21"/>
                <w:szCs w:val="21"/>
              </w:rPr>
              <w:t>①</w:t>
            </w:r>
          </w:p>
        </w:tc>
        <w:tc>
          <w:tcPr>
            <w:tcW w:w="1256" w:type="dxa"/>
            <w:tcMar>
              <w:left w:w="28" w:type="dxa"/>
              <w:right w:w="28" w:type="dxa"/>
            </w:tcMar>
            <w:vAlign w:val="center"/>
          </w:tcPr>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现有工程</w:t>
            </w:r>
          </w:p>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许可排放量</w:t>
            </w:r>
          </w:p>
          <w:p>
            <w:pPr>
              <w:pStyle w:val="77"/>
              <w:spacing w:beforeLines="0" w:afterLines="0"/>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2 \* GB3 \* MERGEFORMAT </w:instrText>
            </w:r>
            <w:r>
              <w:rPr>
                <w:rFonts w:ascii="Times New Roman" w:eastAsia="黑体"/>
                <w:snapToGrid w:val="0"/>
                <w:spacing w:val="-6"/>
                <w:kern w:val="21"/>
                <w:sz w:val="21"/>
                <w:szCs w:val="21"/>
              </w:rPr>
              <w:fldChar w:fldCharType="separate"/>
            </w:r>
            <w:r>
              <w:rPr>
                <w:rFonts w:hint="eastAsia" w:hAnsi="宋体" w:cs="宋体"/>
                <w:snapToGrid w:val="0"/>
                <w:spacing w:val="-6"/>
                <w:kern w:val="21"/>
                <w:sz w:val="21"/>
                <w:szCs w:val="21"/>
              </w:rPr>
              <w:t>②</w:t>
            </w:r>
            <w:r>
              <w:rPr>
                <w:rFonts w:ascii="Times New Roman" w:eastAsia="黑体"/>
                <w:snapToGrid w:val="0"/>
                <w:spacing w:val="-6"/>
                <w:kern w:val="21"/>
                <w:sz w:val="21"/>
                <w:szCs w:val="21"/>
              </w:rPr>
              <w:fldChar w:fldCharType="end"/>
            </w:r>
          </w:p>
        </w:tc>
        <w:tc>
          <w:tcPr>
            <w:tcW w:w="1674" w:type="dxa"/>
            <w:tcMar>
              <w:left w:w="28" w:type="dxa"/>
              <w:right w:w="28" w:type="dxa"/>
            </w:tcMar>
            <w:vAlign w:val="center"/>
          </w:tcPr>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在建工程</w:t>
            </w:r>
          </w:p>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3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③</w:t>
            </w:r>
            <w:r>
              <w:rPr>
                <w:rFonts w:ascii="Times New Roman" w:eastAsia="黑体"/>
                <w:snapToGrid w:val="0"/>
                <w:spacing w:val="-6"/>
                <w:kern w:val="21"/>
                <w:sz w:val="21"/>
                <w:szCs w:val="21"/>
              </w:rPr>
              <w:fldChar w:fldCharType="end"/>
            </w:r>
          </w:p>
        </w:tc>
        <w:tc>
          <w:tcPr>
            <w:tcW w:w="1534" w:type="dxa"/>
            <w:tcMar>
              <w:left w:w="28" w:type="dxa"/>
              <w:right w:w="28" w:type="dxa"/>
            </w:tcMar>
            <w:vAlign w:val="center"/>
          </w:tcPr>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本项目</w:t>
            </w:r>
          </w:p>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排放量（固体废物产生量）</w:t>
            </w: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4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④</w:t>
            </w:r>
            <w:r>
              <w:rPr>
                <w:rFonts w:ascii="Times New Roman" w:eastAsia="黑体"/>
                <w:snapToGrid w:val="0"/>
                <w:spacing w:val="-6"/>
                <w:kern w:val="21"/>
                <w:sz w:val="21"/>
                <w:szCs w:val="21"/>
              </w:rPr>
              <w:fldChar w:fldCharType="end"/>
            </w:r>
          </w:p>
        </w:tc>
        <w:tc>
          <w:tcPr>
            <w:tcW w:w="1733" w:type="dxa"/>
            <w:tcMar>
              <w:left w:w="28" w:type="dxa"/>
              <w:right w:w="28" w:type="dxa"/>
            </w:tcMar>
            <w:vAlign w:val="center"/>
          </w:tcPr>
          <w:p>
            <w:pPr>
              <w:pStyle w:val="77"/>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以新带老削减量</w:t>
            </w:r>
          </w:p>
          <w:p>
            <w:pPr>
              <w:pStyle w:val="77"/>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（新建项目不填）</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5 \* GB3 \* MERGEFORMAT </w:instrText>
            </w:r>
            <w:r>
              <w:rPr>
                <w:rFonts w:ascii="Times New Roman" w:eastAsia="黑体"/>
                <w:snapToGrid w:val="0"/>
                <w:spacing w:val="-16"/>
                <w:kern w:val="21"/>
                <w:sz w:val="21"/>
                <w:szCs w:val="21"/>
              </w:rPr>
              <w:fldChar w:fldCharType="separate"/>
            </w:r>
            <w:r>
              <w:rPr>
                <w:rFonts w:hint="eastAsia" w:hAnsi="宋体" w:cs="宋体"/>
                <w:kern w:val="2"/>
                <w:sz w:val="21"/>
                <w:szCs w:val="21"/>
              </w:rPr>
              <w:t>⑤</w:t>
            </w:r>
            <w:r>
              <w:rPr>
                <w:rFonts w:ascii="Times New Roman" w:eastAsia="黑体"/>
                <w:snapToGrid w:val="0"/>
                <w:spacing w:val="-16"/>
                <w:kern w:val="21"/>
                <w:sz w:val="21"/>
                <w:szCs w:val="21"/>
              </w:rPr>
              <w:fldChar w:fldCharType="end"/>
            </w:r>
          </w:p>
        </w:tc>
        <w:tc>
          <w:tcPr>
            <w:tcW w:w="1928" w:type="dxa"/>
            <w:tcMar>
              <w:left w:w="28" w:type="dxa"/>
              <w:right w:w="28" w:type="dxa"/>
            </w:tcMar>
            <w:vAlign w:val="center"/>
          </w:tcPr>
          <w:p>
            <w:pPr>
              <w:pStyle w:val="77"/>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本项目建成后</w:t>
            </w:r>
          </w:p>
          <w:p>
            <w:pPr>
              <w:pStyle w:val="77"/>
              <w:spacing w:beforeLines="0" w:afterLines="0" w:line="240" w:lineRule="auto"/>
              <w:rPr>
                <w:rFonts w:ascii="Times New Roman" w:eastAsia="黑体"/>
                <w:snapToGrid w:val="0"/>
                <w:spacing w:val="-16"/>
                <w:kern w:val="21"/>
                <w:sz w:val="21"/>
                <w:szCs w:val="21"/>
              </w:rPr>
            </w:pPr>
            <w:r>
              <w:rPr>
                <w:rFonts w:ascii="Times New Roman" w:eastAsia="黑体"/>
                <w:snapToGrid w:val="0"/>
                <w:spacing w:val="-16"/>
                <w:kern w:val="21"/>
                <w:sz w:val="21"/>
                <w:szCs w:val="21"/>
              </w:rPr>
              <w:t>全厂排放量（固体废物产生量）</w:t>
            </w:r>
            <w:r>
              <w:rPr>
                <w:rFonts w:ascii="Times New Roman" w:eastAsia="黑体"/>
                <w:snapToGrid w:val="0"/>
                <w:spacing w:val="-16"/>
                <w:kern w:val="21"/>
                <w:sz w:val="21"/>
                <w:szCs w:val="21"/>
              </w:rPr>
              <w:fldChar w:fldCharType="begin"/>
            </w:r>
            <w:r>
              <w:rPr>
                <w:rFonts w:ascii="Times New Roman" w:eastAsia="黑体"/>
                <w:snapToGrid w:val="0"/>
                <w:spacing w:val="-16"/>
                <w:kern w:val="21"/>
                <w:sz w:val="21"/>
                <w:szCs w:val="21"/>
              </w:rPr>
              <w:instrText xml:space="preserve"> = 6 \* GB3 \* MERGEFORMAT </w:instrText>
            </w:r>
            <w:r>
              <w:rPr>
                <w:rFonts w:ascii="Times New Roman" w:eastAsia="黑体"/>
                <w:snapToGrid w:val="0"/>
                <w:spacing w:val="-16"/>
                <w:kern w:val="21"/>
                <w:sz w:val="21"/>
                <w:szCs w:val="21"/>
              </w:rPr>
              <w:fldChar w:fldCharType="separate"/>
            </w:r>
            <w:r>
              <w:rPr>
                <w:rFonts w:hint="eastAsia" w:hAnsi="宋体" w:cs="宋体"/>
                <w:kern w:val="2"/>
                <w:sz w:val="21"/>
                <w:szCs w:val="21"/>
              </w:rPr>
              <w:t>⑥</w:t>
            </w:r>
            <w:r>
              <w:rPr>
                <w:rFonts w:ascii="Times New Roman" w:eastAsia="黑体"/>
                <w:snapToGrid w:val="0"/>
                <w:spacing w:val="-16"/>
                <w:kern w:val="21"/>
                <w:sz w:val="21"/>
                <w:szCs w:val="21"/>
              </w:rPr>
              <w:fldChar w:fldCharType="end"/>
            </w:r>
          </w:p>
        </w:tc>
        <w:tc>
          <w:tcPr>
            <w:tcW w:w="1184" w:type="dxa"/>
            <w:tcMar>
              <w:left w:w="28" w:type="dxa"/>
              <w:right w:w="28" w:type="dxa"/>
            </w:tcMar>
            <w:vAlign w:val="center"/>
          </w:tcPr>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t>变化量</w:t>
            </w:r>
          </w:p>
          <w:p>
            <w:pPr>
              <w:pStyle w:val="77"/>
              <w:spacing w:beforeLines="0" w:afterLines="0" w:line="240" w:lineRule="auto"/>
              <w:rPr>
                <w:rFonts w:ascii="Times New Roman" w:eastAsia="黑体"/>
                <w:snapToGrid w:val="0"/>
                <w:spacing w:val="-6"/>
                <w:kern w:val="21"/>
                <w:sz w:val="21"/>
                <w:szCs w:val="21"/>
              </w:rPr>
            </w:pPr>
            <w:r>
              <w:rPr>
                <w:rFonts w:ascii="Times New Roman" w:eastAsia="黑体"/>
                <w:snapToGrid w:val="0"/>
                <w:spacing w:val="-6"/>
                <w:kern w:val="21"/>
                <w:sz w:val="21"/>
                <w:szCs w:val="21"/>
              </w:rPr>
              <w:fldChar w:fldCharType="begin"/>
            </w:r>
            <w:r>
              <w:rPr>
                <w:rFonts w:ascii="Times New Roman" w:eastAsia="黑体"/>
                <w:snapToGrid w:val="0"/>
                <w:spacing w:val="-6"/>
                <w:kern w:val="21"/>
                <w:sz w:val="21"/>
                <w:szCs w:val="21"/>
              </w:rPr>
              <w:instrText xml:space="preserve"> = 7 \* GB3 \* MERGEFORMAT </w:instrText>
            </w:r>
            <w:r>
              <w:rPr>
                <w:rFonts w:ascii="Times New Roman" w:eastAsia="黑体"/>
                <w:snapToGrid w:val="0"/>
                <w:spacing w:val="-6"/>
                <w:kern w:val="21"/>
                <w:sz w:val="21"/>
                <w:szCs w:val="21"/>
              </w:rPr>
              <w:fldChar w:fldCharType="separate"/>
            </w:r>
            <w:r>
              <w:rPr>
                <w:rFonts w:hint="eastAsia" w:hAnsi="宋体" w:cs="宋体"/>
                <w:kern w:val="2"/>
                <w:sz w:val="21"/>
                <w:szCs w:val="21"/>
              </w:rPr>
              <w:t>⑦</w:t>
            </w:r>
            <w:r>
              <w:rPr>
                <w:rFonts w:ascii="Times New Roman" w:eastAsia="黑体"/>
                <w:snapToGrid w:val="0"/>
                <w:spacing w:val="-6"/>
                <w:kern w:val="21"/>
                <w:sz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restart"/>
            <w:vAlign w:val="center"/>
          </w:tcPr>
          <w:p>
            <w:pPr>
              <w:pStyle w:val="77"/>
              <w:spacing w:beforeLines="0" w:afterLines="0" w:line="240" w:lineRule="auto"/>
              <w:rPr>
                <w:rFonts w:ascii="Times New Roman"/>
                <w:snapToGrid w:val="0"/>
                <w:kern w:val="21"/>
                <w:sz w:val="21"/>
                <w:szCs w:val="21"/>
              </w:rPr>
            </w:pPr>
            <w:r>
              <w:rPr>
                <w:rFonts w:ascii="Times New Roman"/>
                <w:snapToGrid w:val="0"/>
                <w:kern w:val="21"/>
                <w:sz w:val="21"/>
                <w:szCs w:val="21"/>
              </w:rPr>
              <w:t>废气</w:t>
            </w:r>
          </w:p>
        </w:tc>
        <w:tc>
          <w:tcPr>
            <w:tcW w:w="1394" w:type="dxa"/>
            <w:vAlign w:val="center"/>
          </w:tcPr>
          <w:p>
            <w:pPr>
              <w:pStyle w:val="77"/>
              <w:spacing w:beforeLines="0" w:afterLines="0" w:line="240" w:lineRule="auto"/>
              <w:rPr>
                <w:rFonts w:ascii="Times New Roman"/>
                <w:snapToGrid w:val="0"/>
                <w:kern w:val="21"/>
                <w:sz w:val="21"/>
                <w:szCs w:val="21"/>
              </w:rPr>
            </w:pPr>
            <w:r>
              <w:rPr>
                <w:rFonts w:ascii="Times New Roman"/>
                <w:snapToGrid w:val="0"/>
                <w:kern w:val="21"/>
                <w:sz w:val="21"/>
                <w:szCs w:val="21"/>
              </w:rPr>
              <w:t>颗粒物</w:t>
            </w:r>
          </w:p>
        </w:tc>
        <w:tc>
          <w:tcPr>
            <w:tcW w:w="1674" w:type="dxa"/>
            <w:vAlign w:val="center"/>
          </w:tcPr>
          <w:p>
            <w:pPr>
              <w:jc w:val="center"/>
              <w:rPr>
                <w:kern w:val="0"/>
                <w:sz w:val="21"/>
                <w:szCs w:val="21"/>
              </w:rPr>
            </w:pPr>
            <w:r>
              <w:rPr>
                <w:rFonts w:hint="eastAsia"/>
                <w:kern w:val="0"/>
                <w:sz w:val="21"/>
                <w:szCs w:val="21"/>
              </w:rPr>
              <w:t>1</w:t>
            </w:r>
            <w:r>
              <w:rPr>
                <w:kern w:val="0"/>
                <w:sz w:val="21"/>
                <w:szCs w:val="21"/>
              </w:rPr>
              <w:t>3</w:t>
            </w:r>
            <w:r>
              <w:rPr>
                <w:rFonts w:hint="eastAsia"/>
                <w:kern w:val="0"/>
                <w:sz w:val="21"/>
                <w:szCs w:val="21"/>
              </w:rPr>
              <w:t>.</w:t>
            </w:r>
            <w:r>
              <w:rPr>
                <w:kern w:val="0"/>
                <w:sz w:val="21"/>
                <w:szCs w:val="21"/>
              </w:rPr>
              <w:t>654</w:t>
            </w:r>
          </w:p>
        </w:tc>
        <w:tc>
          <w:tcPr>
            <w:tcW w:w="1256" w:type="dxa"/>
            <w:vAlign w:val="center"/>
          </w:tcPr>
          <w:p>
            <w:pPr>
              <w:jc w:val="center"/>
              <w:rPr>
                <w:sz w:val="21"/>
                <w:szCs w:val="21"/>
              </w:rPr>
            </w:pPr>
            <w:r>
              <w:rPr>
                <w:snapToGrid w:val="0"/>
                <w:kern w:val="21"/>
                <w:sz w:val="21"/>
                <w:szCs w:val="21"/>
              </w:rPr>
              <w:t>/</w:t>
            </w:r>
          </w:p>
        </w:tc>
        <w:tc>
          <w:tcPr>
            <w:tcW w:w="1674" w:type="dxa"/>
            <w:vAlign w:val="center"/>
          </w:tcPr>
          <w:p>
            <w:pPr>
              <w:jc w:val="center"/>
              <w:rPr>
                <w:sz w:val="21"/>
                <w:szCs w:val="21"/>
              </w:rPr>
            </w:pPr>
            <w:r>
              <w:rPr>
                <w:snapToGrid w:val="0"/>
                <w:kern w:val="21"/>
                <w:sz w:val="21"/>
                <w:szCs w:val="21"/>
              </w:rPr>
              <w:t>/</w:t>
            </w:r>
          </w:p>
        </w:tc>
        <w:tc>
          <w:tcPr>
            <w:tcW w:w="1534" w:type="dxa"/>
            <w:vAlign w:val="center"/>
          </w:tcPr>
          <w:p>
            <w:pPr>
              <w:jc w:val="center"/>
              <w:rPr>
                <w:kern w:val="0"/>
                <w:sz w:val="21"/>
                <w:szCs w:val="21"/>
              </w:rPr>
            </w:pPr>
            <w:r>
              <w:rPr>
                <w:kern w:val="0"/>
                <w:sz w:val="21"/>
                <w:szCs w:val="21"/>
              </w:rPr>
              <w:t>4.1212</w:t>
            </w:r>
          </w:p>
        </w:tc>
        <w:tc>
          <w:tcPr>
            <w:tcW w:w="1733" w:type="dxa"/>
            <w:vAlign w:val="center"/>
          </w:tcPr>
          <w:p>
            <w:pPr>
              <w:jc w:val="center"/>
              <w:rPr>
                <w:kern w:val="0"/>
                <w:sz w:val="21"/>
                <w:szCs w:val="21"/>
              </w:rPr>
            </w:pPr>
            <w:r>
              <w:rPr>
                <w:kern w:val="0"/>
                <w:sz w:val="21"/>
                <w:szCs w:val="21"/>
              </w:rPr>
              <w:t>9.5328</w:t>
            </w:r>
          </w:p>
        </w:tc>
        <w:tc>
          <w:tcPr>
            <w:tcW w:w="1928" w:type="dxa"/>
            <w:vAlign w:val="center"/>
          </w:tcPr>
          <w:p>
            <w:pPr>
              <w:jc w:val="center"/>
              <w:rPr>
                <w:kern w:val="0"/>
                <w:sz w:val="21"/>
                <w:szCs w:val="21"/>
              </w:rPr>
            </w:pPr>
            <w:r>
              <w:rPr>
                <w:kern w:val="0"/>
                <w:sz w:val="21"/>
                <w:szCs w:val="21"/>
              </w:rPr>
              <w:t>4.1212</w:t>
            </w:r>
          </w:p>
        </w:tc>
        <w:tc>
          <w:tcPr>
            <w:tcW w:w="1184" w:type="dxa"/>
            <w:vAlign w:val="center"/>
          </w:tcPr>
          <w:p>
            <w:pPr>
              <w:jc w:val="center"/>
              <w:rPr>
                <w:kern w:val="0"/>
                <w:sz w:val="21"/>
                <w:szCs w:val="21"/>
              </w:rPr>
            </w:pPr>
            <w:r>
              <w:rPr>
                <w:rFonts w:hint="eastAsia"/>
                <w:kern w:val="0"/>
                <w:sz w:val="21"/>
                <w:szCs w:val="21"/>
              </w:rPr>
              <w:t>-</w:t>
            </w:r>
            <w:r>
              <w:rPr>
                <w:kern w:val="0"/>
                <w:sz w:val="21"/>
                <w:szCs w:val="21"/>
              </w:rPr>
              <w:t>9.5328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pStyle w:val="77"/>
              <w:spacing w:beforeLines="0" w:afterLines="0" w:line="240" w:lineRule="auto"/>
              <w:rPr>
                <w:rFonts w:ascii="Times New Roman"/>
                <w:snapToGrid w:val="0"/>
                <w:kern w:val="21"/>
                <w:sz w:val="21"/>
                <w:szCs w:val="21"/>
              </w:rPr>
            </w:pPr>
            <w:r>
              <w:rPr>
                <w:rFonts w:hint="eastAsia" w:ascii="Times New Roman"/>
                <w:sz w:val="21"/>
                <w:szCs w:val="21"/>
              </w:rPr>
              <w:t>VOCs</w:t>
            </w:r>
          </w:p>
        </w:tc>
        <w:tc>
          <w:tcPr>
            <w:tcW w:w="1674" w:type="dxa"/>
            <w:vAlign w:val="center"/>
          </w:tcPr>
          <w:p>
            <w:pPr>
              <w:jc w:val="center"/>
              <w:rPr>
                <w:snapToGrid w:val="0"/>
                <w:kern w:val="21"/>
                <w:sz w:val="21"/>
                <w:szCs w:val="21"/>
              </w:rPr>
            </w:pPr>
            <w:r>
              <w:rPr>
                <w:rFonts w:hint="eastAsia"/>
                <w:snapToGrid w:val="0"/>
                <w:kern w:val="21"/>
                <w:sz w:val="21"/>
                <w:szCs w:val="21"/>
              </w:rPr>
              <w:t>0.</w:t>
            </w:r>
            <w:r>
              <w:rPr>
                <w:snapToGrid w:val="0"/>
                <w:kern w:val="21"/>
                <w:sz w:val="21"/>
                <w:szCs w:val="21"/>
              </w:rPr>
              <w:t>2552</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jc w:val="center"/>
              <w:rPr>
                <w:kern w:val="0"/>
                <w:sz w:val="21"/>
                <w:szCs w:val="21"/>
              </w:rPr>
            </w:pPr>
            <w:r>
              <w:rPr>
                <w:rFonts w:hint="eastAsia"/>
                <w:kern w:val="0"/>
                <w:sz w:val="21"/>
                <w:szCs w:val="21"/>
              </w:rPr>
              <w:t>0</w:t>
            </w:r>
            <w:r>
              <w:rPr>
                <w:kern w:val="0"/>
                <w:sz w:val="21"/>
                <w:szCs w:val="21"/>
              </w:rPr>
              <w:t>.6874</w:t>
            </w:r>
          </w:p>
        </w:tc>
        <w:tc>
          <w:tcPr>
            <w:tcW w:w="1733" w:type="dxa"/>
            <w:vAlign w:val="center"/>
          </w:tcPr>
          <w:p>
            <w:pPr>
              <w:jc w:val="center"/>
              <w:rPr>
                <w:snapToGrid w:val="0"/>
                <w:kern w:val="21"/>
                <w:sz w:val="21"/>
                <w:szCs w:val="21"/>
              </w:rPr>
            </w:pPr>
            <w:r>
              <w:rPr>
                <w:rFonts w:hint="eastAsia"/>
                <w:kern w:val="0"/>
                <w:sz w:val="21"/>
                <w:szCs w:val="21"/>
              </w:rPr>
              <w:t>/</w:t>
            </w:r>
          </w:p>
        </w:tc>
        <w:tc>
          <w:tcPr>
            <w:tcW w:w="1928" w:type="dxa"/>
            <w:vAlign w:val="center"/>
          </w:tcPr>
          <w:p>
            <w:pPr>
              <w:jc w:val="center"/>
              <w:rPr>
                <w:kern w:val="0"/>
                <w:sz w:val="21"/>
                <w:szCs w:val="21"/>
              </w:rPr>
            </w:pPr>
            <w:r>
              <w:rPr>
                <w:rFonts w:hint="eastAsia"/>
                <w:kern w:val="0"/>
                <w:sz w:val="21"/>
                <w:szCs w:val="21"/>
              </w:rPr>
              <w:t>0</w:t>
            </w:r>
            <w:r>
              <w:rPr>
                <w:kern w:val="0"/>
                <w:sz w:val="21"/>
                <w:szCs w:val="21"/>
              </w:rPr>
              <w:t>.6874</w:t>
            </w:r>
          </w:p>
        </w:tc>
        <w:tc>
          <w:tcPr>
            <w:tcW w:w="1184" w:type="dxa"/>
            <w:vAlign w:val="center"/>
          </w:tcPr>
          <w:p>
            <w:pPr>
              <w:jc w:val="center"/>
              <w:rPr>
                <w:kern w:val="0"/>
                <w:sz w:val="21"/>
                <w:szCs w:val="21"/>
              </w:rPr>
            </w:pPr>
            <w:r>
              <w:rPr>
                <w:rFonts w:hint="eastAsia"/>
                <w:kern w:val="0"/>
                <w:sz w:val="21"/>
                <w:szCs w:val="21"/>
              </w:rPr>
              <w:t>+</w:t>
            </w:r>
            <w:r>
              <w:rPr>
                <w:kern w:val="0"/>
                <w:sz w:val="21"/>
                <w:szCs w:val="21"/>
              </w:rPr>
              <w:t>0.4322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pStyle w:val="77"/>
              <w:spacing w:beforeLines="0" w:afterLines="0" w:line="240" w:lineRule="auto"/>
              <w:rPr>
                <w:rFonts w:ascii="Times New Roman"/>
                <w:snapToGrid w:val="0"/>
                <w:kern w:val="21"/>
                <w:sz w:val="21"/>
                <w:szCs w:val="21"/>
              </w:rPr>
            </w:pPr>
            <w:r>
              <w:rPr>
                <w:rFonts w:hint="eastAsia" w:ascii="Times New Roman"/>
                <w:sz w:val="21"/>
                <w:szCs w:val="21"/>
              </w:rPr>
              <w:t>甲醛</w:t>
            </w:r>
          </w:p>
        </w:tc>
        <w:tc>
          <w:tcPr>
            <w:tcW w:w="1674" w:type="dxa"/>
            <w:vAlign w:val="center"/>
          </w:tcPr>
          <w:p>
            <w:pPr>
              <w:jc w:val="center"/>
              <w:rPr>
                <w:snapToGrid w:val="0"/>
                <w:kern w:val="21"/>
                <w:sz w:val="21"/>
                <w:szCs w:val="21"/>
              </w:rPr>
            </w:pPr>
            <w:r>
              <w:rPr>
                <w:rFonts w:hint="eastAsia"/>
                <w:snapToGrid w:val="0"/>
                <w:kern w:val="21"/>
                <w:sz w:val="21"/>
                <w:szCs w:val="21"/>
              </w:rPr>
              <w:t>0.</w:t>
            </w:r>
            <w:r>
              <w:rPr>
                <w:snapToGrid w:val="0"/>
                <w:kern w:val="21"/>
                <w:sz w:val="21"/>
                <w:szCs w:val="21"/>
              </w:rPr>
              <w:t>4216</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jc w:val="center"/>
              <w:rPr>
                <w:kern w:val="0"/>
                <w:sz w:val="21"/>
                <w:szCs w:val="21"/>
              </w:rPr>
            </w:pPr>
            <w:r>
              <w:rPr>
                <w:kern w:val="0"/>
                <w:sz w:val="21"/>
                <w:szCs w:val="21"/>
              </w:rPr>
              <w:t>0.0083</w:t>
            </w:r>
          </w:p>
        </w:tc>
        <w:tc>
          <w:tcPr>
            <w:tcW w:w="1733" w:type="dxa"/>
            <w:vAlign w:val="center"/>
          </w:tcPr>
          <w:p>
            <w:pPr>
              <w:jc w:val="center"/>
              <w:rPr>
                <w:snapToGrid w:val="0"/>
                <w:kern w:val="21"/>
                <w:sz w:val="21"/>
                <w:szCs w:val="21"/>
              </w:rPr>
            </w:pPr>
            <w:r>
              <w:rPr>
                <w:rFonts w:hint="eastAsia"/>
                <w:kern w:val="0"/>
                <w:sz w:val="21"/>
                <w:szCs w:val="21"/>
              </w:rPr>
              <w:t>/</w:t>
            </w:r>
          </w:p>
        </w:tc>
        <w:tc>
          <w:tcPr>
            <w:tcW w:w="1928" w:type="dxa"/>
            <w:vAlign w:val="center"/>
          </w:tcPr>
          <w:p>
            <w:pPr>
              <w:jc w:val="center"/>
              <w:rPr>
                <w:kern w:val="0"/>
                <w:sz w:val="21"/>
                <w:szCs w:val="21"/>
              </w:rPr>
            </w:pPr>
            <w:r>
              <w:rPr>
                <w:rFonts w:hint="eastAsia"/>
                <w:kern w:val="0"/>
                <w:sz w:val="21"/>
                <w:szCs w:val="21"/>
              </w:rPr>
              <w:t>0</w:t>
            </w:r>
            <w:r>
              <w:rPr>
                <w:kern w:val="0"/>
                <w:sz w:val="21"/>
                <w:szCs w:val="21"/>
              </w:rPr>
              <w:t>.4299</w:t>
            </w:r>
          </w:p>
        </w:tc>
        <w:tc>
          <w:tcPr>
            <w:tcW w:w="1184" w:type="dxa"/>
            <w:vAlign w:val="center"/>
          </w:tcPr>
          <w:p>
            <w:pPr>
              <w:jc w:val="center"/>
              <w:rPr>
                <w:kern w:val="0"/>
                <w:sz w:val="21"/>
                <w:szCs w:val="21"/>
              </w:rPr>
            </w:pPr>
            <w:r>
              <w:rPr>
                <w:rFonts w:hint="eastAsia"/>
                <w:kern w:val="0"/>
                <w:sz w:val="21"/>
                <w:szCs w:val="21"/>
              </w:rPr>
              <w:t>+</w:t>
            </w:r>
            <w:r>
              <w:rPr>
                <w:kern w:val="0"/>
                <w:sz w:val="21"/>
                <w:szCs w:val="21"/>
              </w:rPr>
              <w:t>0.0083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pStyle w:val="77"/>
              <w:spacing w:beforeLines="0" w:afterLines="0" w:line="240" w:lineRule="auto"/>
              <w:rPr>
                <w:rFonts w:ascii="Times New Roman"/>
                <w:sz w:val="21"/>
                <w:szCs w:val="21"/>
              </w:rPr>
            </w:pPr>
            <w:r>
              <w:rPr>
                <w:rFonts w:hint="eastAsia" w:ascii="Times New Roman"/>
                <w:sz w:val="21"/>
                <w:szCs w:val="21"/>
              </w:rPr>
              <w:t>NOx</w:t>
            </w:r>
          </w:p>
        </w:tc>
        <w:tc>
          <w:tcPr>
            <w:tcW w:w="1674" w:type="dxa"/>
            <w:vAlign w:val="center"/>
          </w:tcPr>
          <w:p>
            <w:pPr>
              <w:jc w:val="center"/>
              <w:rPr>
                <w:snapToGrid w:val="0"/>
                <w:kern w:val="21"/>
                <w:sz w:val="21"/>
                <w:szCs w:val="21"/>
              </w:rPr>
            </w:pPr>
            <w:r>
              <w:rPr>
                <w:rFonts w:hint="eastAsia"/>
                <w:snapToGrid w:val="0"/>
                <w:kern w:val="21"/>
                <w:sz w:val="21"/>
                <w:szCs w:val="21"/>
              </w:rPr>
              <w:t>0.</w:t>
            </w:r>
            <w:r>
              <w:rPr>
                <w:snapToGrid w:val="0"/>
                <w:kern w:val="21"/>
                <w:sz w:val="21"/>
                <w:szCs w:val="21"/>
              </w:rPr>
              <w:t>048</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p>
        </w:tc>
        <w:tc>
          <w:tcPr>
            <w:tcW w:w="1534" w:type="dxa"/>
            <w:vAlign w:val="center"/>
          </w:tcPr>
          <w:p>
            <w:pPr>
              <w:jc w:val="center"/>
              <w:rPr>
                <w:kern w:val="0"/>
                <w:sz w:val="21"/>
                <w:szCs w:val="21"/>
              </w:rPr>
            </w:pPr>
            <w:r>
              <w:rPr>
                <w:rFonts w:hint="eastAsia"/>
                <w:kern w:val="0"/>
                <w:sz w:val="21"/>
                <w:szCs w:val="21"/>
              </w:rPr>
              <w:t>/</w:t>
            </w:r>
          </w:p>
        </w:tc>
        <w:tc>
          <w:tcPr>
            <w:tcW w:w="1733" w:type="dxa"/>
            <w:vAlign w:val="center"/>
          </w:tcPr>
          <w:p>
            <w:pPr>
              <w:jc w:val="center"/>
              <w:rPr>
                <w:snapToGrid w:val="0"/>
                <w:kern w:val="21"/>
                <w:sz w:val="21"/>
                <w:szCs w:val="21"/>
              </w:rPr>
            </w:pPr>
            <w:r>
              <w:rPr>
                <w:rFonts w:hint="eastAsia"/>
                <w:sz w:val="21"/>
                <w:szCs w:val="21"/>
              </w:rPr>
              <w:t>/</w:t>
            </w:r>
          </w:p>
        </w:tc>
        <w:tc>
          <w:tcPr>
            <w:tcW w:w="1928" w:type="dxa"/>
            <w:vAlign w:val="center"/>
          </w:tcPr>
          <w:p>
            <w:pPr>
              <w:jc w:val="center"/>
              <w:rPr>
                <w:kern w:val="0"/>
                <w:sz w:val="21"/>
                <w:szCs w:val="21"/>
              </w:rPr>
            </w:pPr>
            <w:r>
              <w:rPr>
                <w:rFonts w:hint="eastAsia"/>
                <w:snapToGrid w:val="0"/>
                <w:kern w:val="21"/>
                <w:sz w:val="21"/>
                <w:szCs w:val="21"/>
              </w:rPr>
              <w:t>0.</w:t>
            </w:r>
            <w:r>
              <w:rPr>
                <w:snapToGrid w:val="0"/>
                <w:kern w:val="21"/>
                <w:sz w:val="21"/>
                <w:szCs w:val="21"/>
              </w:rPr>
              <w:t>048</w:t>
            </w:r>
          </w:p>
        </w:tc>
        <w:tc>
          <w:tcPr>
            <w:tcW w:w="1184" w:type="dxa"/>
            <w:vAlign w:val="center"/>
          </w:tcPr>
          <w:p>
            <w:pPr>
              <w:jc w:val="center"/>
              <w:rPr>
                <w:kern w:val="0"/>
                <w:sz w:val="21"/>
                <w:szCs w:val="21"/>
              </w:rPr>
            </w:pP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pStyle w:val="77"/>
              <w:spacing w:beforeLines="0" w:afterLines="0" w:line="240" w:lineRule="auto"/>
              <w:rPr>
                <w:rFonts w:ascii="Times New Roman"/>
                <w:sz w:val="21"/>
                <w:szCs w:val="21"/>
              </w:rPr>
            </w:pPr>
            <w:r>
              <w:rPr>
                <w:rFonts w:hint="eastAsia" w:ascii="Times New Roman"/>
                <w:sz w:val="21"/>
                <w:szCs w:val="21"/>
              </w:rPr>
              <w:t>SO</w:t>
            </w:r>
            <w:r>
              <w:rPr>
                <w:rFonts w:ascii="Times New Roman"/>
                <w:sz w:val="21"/>
                <w:szCs w:val="21"/>
                <w:vertAlign w:val="subscript"/>
              </w:rPr>
              <w:t>2</w:t>
            </w:r>
          </w:p>
        </w:tc>
        <w:tc>
          <w:tcPr>
            <w:tcW w:w="1674" w:type="dxa"/>
            <w:vAlign w:val="center"/>
          </w:tcPr>
          <w:p>
            <w:pPr>
              <w:jc w:val="center"/>
              <w:rPr>
                <w:snapToGrid w:val="0"/>
                <w:kern w:val="21"/>
                <w:sz w:val="21"/>
                <w:szCs w:val="21"/>
              </w:rPr>
            </w:pPr>
            <w:r>
              <w:rPr>
                <w:rFonts w:hint="eastAsia"/>
                <w:snapToGrid w:val="0"/>
                <w:kern w:val="21"/>
                <w:sz w:val="21"/>
                <w:szCs w:val="21"/>
              </w:rPr>
              <w:t>2.</w:t>
            </w:r>
            <w:r>
              <w:rPr>
                <w:snapToGrid w:val="0"/>
                <w:kern w:val="21"/>
                <w:sz w:val="21"/>
                <w:szCs w:val="21"/>
              </w:rPr>
              <w:t>244</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p>
        </w:tc>
        <w:tc>
          <w:tcPr>
            <w:tcW w:w="1534" w:type="dxa"/>
            <w:vAlign w:val="center"/>
          </w:tcPr>
          <w:p>
            <w:pPr>
              <w:jc w:val="center"/>
              <w:rPr>
                <w:kern w:val="0"/>
                <w:sz w:val="21"/>
                <w:szCs w:val="21"/>
              </w:rPr>
            </w:pPr>
            <w:r>
              <w:rPr>
                <w:rFonts w:hint="eastAsia"/>
                <w:kern w:val="0"/>
                <w:sz w:val="21"/>
                <w:szCs w:val="21"/>
              </w:rPr>
              <w:t>/</w:t>
            </w:r>
          </w:p>
        </w:tc>
        <w:tc>
          <w:tcPr>
            <w:tcW w:w="1733" w:type="dxa"/>
            <w:vAlign w:val="center"/>
          </w:tcPr>
          <w:p>
            <w:pPr>
              <w:jc w:val="center"/>
              <w:rPr>
                <w:snapToGrid w:val="0"/>
                <w:kern w:val="21"/>
                <w:sz w:val="21"/>
                <w:szCs w:val="21"/>
              </w:rPr>
            </w:pPr>
            <w:r>
              <w:rPr>
                <w:rFonts w:hint="eastAsia"/>
                <w:kern w:val="0"/>
                <w:sz w:val="21"/>
                <w:szCs w:val="21"/>
              </w:rPr>
              <w:t>/</w:t>
            </w:r>
          </w:p>
        </w:tc>
        <w:tc>
          <w:tcPr>
            <w:tcW w:w="1928" w:type="dxa"/>
            <w:vAlign w:val="center"/>
          </w:tcPr>
          <w:p>
            <w:pPr>
              <w:jc w:val="center"/>
              <w:rPr>
                <w:kern w:val="0"/>
                <w:sz w:val="21"/>
                <w:szCs w:val="21"/>
              </w:rPr>
            </w:pPr>
            <w:r>
              <w:rPr>
                <w:rFonts w:hint="eastAsia"/>
                <w:snapToGrid w:val="0"/>
                <w:kern w:val="21"/>
                <w:sz w:val="21"/>
                <w:szCs w:val="21"/>
              </w:rPr>
              <w:t>2.</w:t>
            </w:r>
            <w:r>
              <w:rPr>
                <w:snapToGrid w:val="0"/>
                <w:kern w:val="21"/>
                <w:sz w:val="21"/>
                <w:szCs w:val="21"/>
              </w:rPr>
              <w:t>244</w:t>
            </w:r>
          </w:p>
        </w:tc>
        <w:tc>
          <w:tcPr>
            <w:tcW w:w="1184" w:type="dxa"/>
            <w:vAlign w:val="center"/>
          </w:tcPr>
          <w:p>
            <w:pPr>
              <w:jc w:val="center"/>
              <w:rPr>
                <w:kern w:val="0"/>
                <w:sz w:val="21"/>
                <w:szCs w:val="21"/>
              </w:rPr>
            </w:pP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restart"/>
            <w:vAlign w:val="center"/>
          </w:tcPr>
          <w:p>
            <w:pPr>
              <w:pStyle w:val="77"/>
              <w:spacing w:beforeLines="0" w:afterLines="0" w:line="240" w:lineRule="auto"/>
              <w:rPr>
                <w:rFonts w:ascii="Times New Roman"/>
                <w:snapToGrid w:val="0"/>
                <w:kern w:val="21"/>
                <w:sz w:val="21"/>
                <w:szCs w:val="21"/>
              </w:rPr>
            </w:pPr>
            <w:r>
              <w:rPr>
                <w:rFonts w:ascii="Times New Roman"/>
                <w:snapToGrid w:val="0"/>
                <w:kern w:val="21"/>
                <w:sz w:val="21"/>
                <w:szCs w:val="21"/>
              </w:rPr>
              <w:t>废水</w:t>
            </w:r>
          </w:p>
        </w:tc>
        <w:tc>
          <w:tcPr>
            <w:tcW w:w="1394" w:type="dxa"/>
            <w:vAlign w:val="center"/>
          </w:tcPr>
          <w:p>
            <w:pPr>
              <w:pStyle w:val="77"/>
              <w:spacing w:beforeLines="0" w:afterLines="0" w:line="240" w:lineRule="auto"/>
              <w:rPr>
                <w:rFonts w:ascii="Times New Roman"/>
                <w:snapToGrid w:val="0"/>
                <w:kern w:val="21"/>
                <w:sz w:val="21"/>
                <w:szCs w:val="21"/>
              </w:rPr>
            </w:pPr>
            <w:r>
              <w:rPr>
                <w:rFonts w:hint="eastAsia" w:ascii="Times New Roman"/>
                <w:snapToGrid w:val="0"/>
                <w:kern w:val="21"/>
                <w:sz w:val="21"/>
                <w:szCs w:val="21"/>
              </w:rPr>
              <w:t>水量万m</w:t>
            </w:r>
            <w:r>
              <w:rPr>
                <w:rFonts w:hint="eastAsia" w:ascii="Times New Roman"/>
                <w:snapToGrid w:val="0"/>
                <w:kern w:val="21"/>
                <w:sz w:val="21"/>
                <w:szCs w:val="21"/>
                <w:vertAlign w:val="superscript"/>
              </w:rPr>
              <w:t>3</w:t>
            </w:r>
            <w:r>
              <w:rPr>
                <w:rFonts w:hint="eastAsia" w:ascii="Times New Roman"/>
                <w:snapToGrid w:val="0"/>
                <w:kern w:val="21"/>
                <w:sz w:val="21"/>
                <w:szCs w:val="21"/>
              </w:rPr>
              <w:t>/a</w:t>
            </w:r>
          </w:p>
        </w:tc>
        <w:tc>
          <w:tcPr>
            <w:tcW w:w="1674" w:type="dxa"/>
            <w:vAlign w:val="center"/>
          </w:tcPr>
          <w:p>
            <w:pPr>
              <w:jc w:val="center"/>
              <w:rPr>
                <w:sz w:val="21"/>
                <w:szCs w:val="21"/>
              </w:rPr>
            </w:pPr>
            <w:r>
              <w:rPr>
                <w:sz w:val="21"/>
                <w:szCs w:val="21"/>
              </w:rPr>
              <w:t>0</w:t>
            </w:r>
            <w:r>
              <w:rPr>
                <w:rFonts w:hint="eastAsia"/>
                <w:sz w:val="21"/>
                <w:szCs w:val="21"/>
              </w:rPr>
              <w:t>.</w:t>
            </w:r>
            <w:r>
              <w:rPr>
                <w:sz w:val="21"/>
                <w:szCs w:val="21"/>
              </w:rPr>
              <w:t>07</w:t>
            </w:r>
          </w:p>
        </w:tc>
        <w:tc>
          <w:tcPr>
            <w:tcW w:w="1256" w:type="dxa"/>
            <w:vAlign w:val="center"/>
          </w:tcPr>
          <w:p>
            <w:pPr>
              <w:jc w:val="center"/>
              <w:rPr>
                <w:sz w:val="21"/>
                <w:szCs w:val="21"/>
              </w:rPr>
            </w:pPr>
            <w:r>
              <w:rPr>
                <w:rFonts w:hint="eastAsia"/>
                <w:sz w:val="21"/>
                <w:szCs w:val="21"/>
              </w:rPr>
              <w:t>/</w:t>
            </w:r>
          </w:p>
        </w:tc>
        <w:tc>
          <w:tcPr>
            <w:tcW w:w="1674" w:type="dxa"/>
            <w:vAlign w:val="center"/>
          </w:tcPr>
          <w:p>
            <w:pPr>
              <w:jc w:val="center"/>
              <w:rPr>
                <w:sz w:val="21"/>
                <w:szCs w:val="21"/>
              </w:rPr>
            </w:pPr>
            <w:r>
              <w:rPr>
                <w:rFonts w:hint="eastAsia"/>
                <w:sz w:val="21"/>
                <w:szCs w:val="21"/>
              </w:rPr>
              <w:t>/</w:t>
            </w:r>
          </w:p>
        </w:tc>
        <w:tc>
          <w:tcPr>
            <w:tcW w:w="1534" w:type="dxa"/>
            <w:vAlign w:val="center"/>
          </w:tcPr>
          <w:p>
            <w:pPr>
              <w:pStyle w:val="77"/>
              <w:spacing w:beforeLines="0" w:afterLines="0" w:line="240" w:lineRule="auto"/>
              <w:rPr>
                <w:rFonts w:ascii="Times New Roman"/>
                <w:snapToGrid w:val="0"/>
                <w:kern w:val="21"/>
                <w:sz w:val="21"/>
                <w:szCs w:val="21"/>
              </w:rPr>
            </w:pPr>
            <w:r>
              <w:rPr>
                <w:snapToGrid w:val="0"/>
                <w:kern w:val="21"/>
                <w:sz w:val="21"/>
                <w:szCs w:val="21"/>
              </w:rPr>
              <w:t>/</w:t>
            </w:r>
          </w:p>
        </w:tc>
        <w:tc>
          <w:tcPr>
            <w:tcW w:w="1733" w:type="dxa"/>
            <w:vAlign w:val="center"/>
          </w:tcPr>
          <w:p>
            <w:pPr>
              <w:jc w:val="center"/>
              <w:rPr>
                <w:sz w:val="21"/>
                <w:szCs w:val="21"/>
              </w:rPr>
            </w:pPr>
            <w:r>
              <w:rPr>
                <w:rFonts w:hint="eastAsia"/>
                <w:kern w:val="0"/>
                <w:sz w:val="21"/>
                <w:szCs w:val="21"/>
              </w:rPr>
              <w:t>/</w:t>
            </w:r>
          </w:p>
        </w:tc>
        <w:tc>
          <w:tcPr>
            <w:tcW w:w="1928" w:type="dxa"/>
            <w:vAlign w:val="center"/>
          </w:tcPr>
          <w:p>
            <w:pPr>
              <w:pStyle w:val="77"/>
              <w:spacing w:beforeLines="0" w:afterLines="0" w:line="240" w:lineRule="auto"/>
              <w:rPr>
                <w:rFonts w:ascii="Times New Roman"/>
                <w:snapToGrid w:val="0"/>
                <w:kern w:val="21"/>
                <w:sz w:val="21"/>
                <w:szCs w:val="21"/>
              </w:rPr>
            </w:pPr>
            <w:r>
              <w:rPr>
                <w:sz w:val="21"/>
                <w:szCs w:val="21"/>
              </w:rPr>
              <w:t>0</w:t>
            </w:r>
            <w:r>
              <w:rPr>
                <w:rFonts w:hint="eastAsia"/>
                <w:sz w:val="21"/>
                <w:szCs w:val="21"/>
              </w:rPr>
              <w:t>.</w:t>
            </w:r>
            <w:r>
              <w:rPr>
                <w:sz w:val="21"/>
                <w:szCs w:val="21"/>
              </w:rPr>
              <w:t>07</w:t>
            </w:r>
          </w:p>
        </w:tc>
        <w:tc>
          <w:tcPr>
            <w:tcW w:w="1184" w:type="dxa"/>
            <w:vAlign w:val="center"/>
          </w:tcPr>
          <w:p>
            <w:pPr>
              <w:jc w:val="center"/>
              <w:rPr>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widowControl/>
              <w:jc w:val="center"/>
              <w:rPr>
                <w:kern w:val="0"/>
                <w:sz w:val="21"/>
                <w:szCs w:val="21"/>
              </w:rPr>
            </w:pPr>
            <w:r>
              <w:rPr>
                <w:kern w:val="0"/>
                <w:sz w:val="21"/>
                <w:szCs w:val="21"/>
              </w:rPr>
              <w:t>COD</w:t>
            </w:r>
          </w:p>
        </w:tc>
        <w:tc>
          <w:tcPr>
            <w:tcW w:w="1674" w:type="dxa"/>
            <w:shd w:val="clear" w:color="auto" w:fill="auto"/>
            <w:vAlign w:val="center"/>
          </w:tcPr>
          <w:p>
            <w:pPr>
              <w:widowControl/>
              <w:jc w:val="center"/>
              <w:rPr>
                <w:kern w:val="0"/>
                <w:sz w:val="21"/>
                <w:szCs w:val="21"/>
              </w:rPr>
            </w:pPr>
            <w:r>
              <w:rPr>
                <w:rFonts w:hint="eastAsia"/>
                <w:kern w:val="0"/>
                <w:sz w:val="21"/>
                <w:szCs w:val="21"/>
              </w:rPr>
              <w:t>0.</w:t>
            </w:r>
            <w:r>
              <w:rPr>
                <w:kern w:val="0"/>
                <w:sz w:val="21"/>
                <w:szCs w:val="21"/>
              </w:rPr>
              <w:t>28</w:t>
            </w:r>
          </w:p>
        </w:tc>
        <w:tc>
          <w:tcPr>
            <w:tcW w:w="1256" w:type="dxa"/>
            <w:vAlign w:val="center"/>
          </w:tcPr>
          <w:p>
            <w:pPr>
              <w:jc w:val="center"/>
              <w:rPr>
                <w:sz w:val="21"/>
                <w:szCs w:val="21"/>
              </w:rPr>
            </w:pPr>
            <w:r>
              <w:rPr>
                <w:rFonts w:hint="eastAsia"/>
                <w:sz w:val="21"/>
                <w:szCs w:val="21"/>
              </w:rPr>
              <w:t>/</w:t>
            </w:r>
          </w:p>
        </w:tc>
        <w:tc>
          <w:tcPr>
            <w:tcW w:w="1674" w:type="dxa"/>
            <w:vAlign w:val="center"/>
          </w:tcPr>
          <w:p>
            <w:pPr>
              <w:jc w:val="center"/>
              <w:rPr>
                <w:sz w:val="21"/>
                <w:szCs w:val="21"/>
              </w:rPr>
            </w:pPr>
            <w:r>
              <w:rPr>
                <w:rFonts w:hint="eastAsia"/>
                <w:sz w:val="21"/>
                <w:szCs w:val="21"/>
              </w:rPr>
              <w:t>/</w:t>
            </w:r>
          </w:p>
        </w:tc>
        <w:tc>
          <w:tcPr>
            <w:tcW w:w="1534" w:type="dxa"/>
            <w:vAlign w:val="center"/>
          </w:tcPr>
          <w:p>
            <w:pPr>
              <w:jc w:val="center"/>
              <w:rPr>
                <w:sz w:val="21"/>
                <w:szCs w:val="21"/>
              </w:rPr>
            </w:pPr>
            <w:r>
              <w:rPr>
                <w:snapToGrid w:val="0"/>
                <w:kern w:val="21"/>
                <w:sz w:val="21"/>
                <w:szCs w:val="21"/>
              </w:rPr>
              <w:t>/</w:t>
            </w:r>
          </w:p>
        </w:tc>
        <w:tc>
          <w:tcPr>
            <w:tcW w:w="1733" w:type="dxa"/>
            <w:vAlign w:val="center"/>
          </w:tcPr>
          <w:p>
            <w:pPr>
              <w:widowControl/>
              <w:jc w:val="center"/>
              <w:rPr>
                <w:kern w:val="0"/>
                <w:sz w:val="21"/>
                <w:szCs w:val="21"/>
              </w:rPr>
            </w:pPr>
            <w:r>
              <w:rPr>
                <w:rFonts w:hint="eastAsia"/>
                <w:kern w:val="0"/>
                <w:sz w:val="21"/>
                <w:szCs w:val="21"/>
              </w:rPr>
              <w:t>/</w:t>
            </w:r>
          </w:p>
        </w:tc>
        <w:tc>
          <w:tcPr>
            <w:tcW w:w="1928" w:type="dxa"/>
            <w:vAlign w:val="center"/>
          </w:tcPr>
          <w:p>
            <w:pPr>
              <w:jc w:val="center"/>
              <w:rPr>
                <w:sz w:val="21"/>
                <w:szCs w:val="21"/>
              </w:rPr>
            </w:pPr>
            <w:r>
              <w:rPr>
                <w:rFonts w:hint="eastAsia"/>
                <w:kern w:val="0"/>
                <w:sz w:val="21"/>
                <w:szCs w:val="21"/>
              </w:rPr>
              <w:t>0.</w:t>
            </w:r>
            <w:r>
              <w:rPr>
                <w:kern w:val="0"/>
                <w:sz w:val="21"/>
                <w:szCs w:val="21"/>
              </w:rPr>
              <w:t>28</w:t>
            </w:r>
          </w:p>
        </w:tc>
        <w:tc>
          <w:tcPr>
            <w:tcW w:w="1184" w:type="dxa"/>
            <w:vAlign w:val="center"/>
          </w:tcPr>
          <w:p>
            <w:pPr>
              <w:widowControl/>
              <w:jc w:val="center"/>
              <w:rPr>
                <w:kern w:val="0"/>
                <w:sz w:val="21"/>
                <w:szCs w:val="21"/>
              </w:rPr>
            </w:pP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widowControl/>
              <w:jc w:val="center"/>
              <w:rPr>
                <w:kern w:val="0"/>
                <w:sz w:val="21"/>
                <w:szCs w:val="21"/>
              </w:rPr>
            </w:pPr>
            <w:r>
              <w:rPr>
                <w:rFonts w:hint="eastAsia"/>
                <w:kern w:val="0"/>
                <w:sz w:val="21"/>
                <w:szCs w:val="21"/>
              </w:rPr>
              <w:t>氨氮</w:t>
            </w:r>
          </w:p>
        </w:tc>
        <w:tc>
          <w:tcPr>
            <w:tcW w:w="1674" w:type="dxa"/>
            <w:shd w:val="clear" w:color="auto" w:fill="auto"/>
            <w:vAlign w:val="center"/>
          </w:tcPr>
          <w:p>
            <w:pPr>
              <w:widowControl/>
              <w:jc w:val="center"/>
              <w:rPr>
                <w:kern w:val="0"/>
                <w:sz w:val="21"/>
                <w:szCs w:val="21"/>
              </w:rPr>
            </w:pPr>
            <w:r>
              <w:rPr>
                <w:rFonts w:hint="eastAsia"/>
                <w:kern w:val="0"/>
                <w:sz w:val="21"/>
                <w:szCs w:val="21"/>
              </w:rPr>
              <w:t>0.</w:t>
            </w:r>
            <w:r>
              <w:rPr>
                <w:kern w:val="0"/>
                <w:sz w:val="21"/>
                <w:szCs w:val="21"/>
              </w:rPr>
              <w:t>0245</w:t>
            </w:r>
          </w:p>
        </w:tc>
        <w:tc>
          <w:tcPr>
            <w:tcW w:w="1256" w:type="dxa"/>
            <w:vAlign w:val="center"/>
          </w:tcPr>
          <w:p>
            <w:pPr>
              <w:jc w:val="center"/>
              <w:rPr>
                <w:sz w:val="21"/>
                <w:szCs w:val="21"/>
              </w:rPr>
            </w:pPr>
            <w:r>
              <w:rPr>
                <w:snapToGrid w:val="0"/>
                <w:kern w:val="21"/>
                <w:sz w:val="21"/>
                <w:szCs w:val="21"/>
              </w:rPr>
              <w:t>/</w:t>
            </w:r>
          </w:p>
        </w:tc>
        <w:tc>
          <w:tcPr>
            <w:tcW w:w="1674" w:type="dxa"/>
            <w:vAlign w:val="center"/>
          </w:tcPr>
          <w:p>
            <w:pPr>
              <w:jc w:val="center"/>
              <w:rPr>
                <w:sz w:val="21"/>
                <w:szCs w:val="21"/>
              </w:rPr>
            </w:pPr>
            <w:r>
              <w:rPr>
                <w:snapToGrid w:val="0"/>
                <w:kern w:val="21"/>
                <w:sz w:val="21"/>
                <w:szCs w:val="21"/>
              </w:rPr>
              <w:t>/</w:t>
            </w:r>
          </w:p>
        </w:tc>
        <w:tc>
          <w:tcPr>
            <w:tcW w:w="1534" w:type="dxa"/>
            <w:vAlign w:val="center"/>
          </w:tcPr>
          <w:p>
            <w:pPr>
              <w:jc w:val="center"/>
              <w:rPr>
                <w:sz w:val="21"/>
                <w:szCs w:val="21"/>
              </w:rPr>
            </w:pPr>
            <w:r>
              <w:rPr>
                <w:snapToGrid w:val="0"/>
                <w:kern w:val="21"/>
                <w:sz w:val="21"/>
                <w:szCs w:val="21"/>
              </w:rPr>
              <w:t>/</w:t>
            </w:r>
          </w:p>
        </w:tc>
        <w:tc>
          <w:tcPr>
            <w:tcW w:w="1733" w:type="dxa"/>
            <w:vAlign w:val="center"/>
          </w:tcPr>
          <w:p>
            <w:pPr>
              <w:widowControl/>
              <w:jc w:val="center"/>
              <w:rPr>
                <w:kern w:val="0"/>
                <w:sz w:val="21"/>
                <w:szCs w:val="21"/>
              </w:rPr>
            </w:pPr>
            <w:r>
              <w:rPr>
                <w:rFonts w:hint="eastAsia"/>
                <w:sz w:val="21"/>
                <w:szCs w:val="21"/>
              </w:rPr>
              <w:t>/</w:t>
            </w:r>
          </w:p>
        </w:tc>
        <w:tc>
          <w:tcPr>
            <w:tcW w:w="1928" w:type="dxa"/>
            <w:vAlign w:val="center"/>
          </w:tcPr>
          <w:p>
            <w:pPr>
              <w:jc w:val="center"/>
              <w:rPr>
                <w:sz w:val="21"/>
                <w:szCs w:val="21"/>
              </w:rPr>
            </w:pPr>
            <w:r>
              <w:rPr>
                <w:rFonts w:hint="eastAsia"/>
                <w:kern w:val="0"/>
                <w:sz w:val="21"/>
                <w:szCs w:val="21"/>
              </w:rPr>
              <w:t>0.</w:t>
            </w:r>
            <w:r>
              <w:rPr>
                <w:kern w:val="0"/>
                <w:sz w:val="21"/>
                <w:szCs w:val="21"/>
              </w:rPr>
              <w:t>0245</w:t>
            </w:r>
          </w:p>
        </w:tc>
        <w:tc>
          <w:tcPr>
            <w:tcW w:w="1184" w:type="dxa"/>
            <w:vAlign w:val="center"/>
          </w:tcPr>
          <w:p>
            <w:pPr>
              <w:widowControl/>
              <w:jc w:val="center"/>
              <w:rPr>
                <w:kern w:val="0"/>
                <w:sz w:val="21"/>
                <w:szCs w:val="21"/>
              </w:rPr>
            </w:pP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restart"/>
            <w:vAlign w:val="center"/>
          </w:tcPr>
          <w:p>
            <w:pPr>
              <w:pStyle w:val="77"/>
              <w:spacing w:beforeLines="0" w:afterLines="0" w:line="240" w:lineRule="auto"/>
              <w:rPr>
                <w:rFonts w:ascii="Times New Roman"/>
                <w:snapToGrid w:val="0"/>
                <w:kern w:val="21"/>
                <w:sz w:val="21"/>
                <w:szCs w:val="21"/>
              </w:rPr>
            </w:pPr>
            <w:r>
              <w:rPr>
                <w:rFonts w:ascii="Times New Roman"/>
                <w:snapToGrid w:val="0"/>
                <w:kern w:val="21"/>
                <w:sz w:val="21"/>
                <w:szCs w:val="21"/>
              </w:rPr>
              <w:t>一般工业</w:t>
            </w:r>
          </w:p>
          <w:p>
            <w:pPr>
              <w:pStyle w:val="77"/>
              <w:spacing w:beforeLines="0" w:afterLines="0" w:line="240" w:lineRule="auto"/>
              <w:rPr>
                <w:rFonts w:ascii="Times New Roman"/>
                <w:snapToGrid w:val="0"/>
                <w:kern w:val="21"/>
                <w:sz w:val="21"/>
                <w:szCs w:val="21"/>
              </w:rPr>
            </w:pPr>
            <w:r>
              <w:rPr>
                <w:rFonts w:ascii="Times New Roman"/>
                <w:snapToGrid w:val="0"/>
                <w:kern w:val="21"/>
                <w:sz w:val="21"/>
                <w:szCs w:val="21"/>
              </w:rPr>
              <w:t>固体废物</w:t>
            </w:r>
          </w:p>
        </w:tc>
        <w:tc>
          <w:tcPr>
            <w:tcW w:w="1394" w:type="dxa"/>
            <w:vAlign w:val="center"/>
          </w:tcPr>
          <w:p>
            <w:pPr>
              <w:jc w:val="center"/>
              <w:rPr>
                <w:kern w:val="0"/>
                <w:sz w:val="21"/>
                <w:szCs w:val="21"/>
              </w:rPr>
            </w:pPr>
            <w:r>
              <w:rPr>
                <w:rFonts w:hint="eastAsia"/>
                <w:kern w:val="0"/>
                <w:sz w:val="21"/>
                <w:szCs w:val="21"/>
              </w:rPr>
              <w:t>粉尘</w:t>
            </w:r>
          </w:p>
        </w:tc>
        <w:tc>
          <w:tcPr>
            <w:tcW w:w="1674" w:type="dxa"/>
            <w:vAlign w:val="center"/>
          </w:tcPr>
          <w:p>
            <w:pPr>
              <w:jc w:val="center"/>
              <w:rPr>
                <w:kern w:val="0"/>
                <w:sz w:val="21"/>
                <w:szCs w:val="21"/>
              </w:rPr>
            </w:pPr>
            <w:r>
              <w:rPr>
                <w:kern w:val="0"/>
                <w:sz w:val="21"/>
                <w:szCs w:val="21"/>
              </w:rPr>
              <w:t>210.3</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sz w:val="21"/>
                <w:szCs w:val="21"/>
                <w:lang w:val="en-GB"/>
              </w:rPr>
              <w:t>182</w:t>
            </w:r>
            <w:r>
              <w:rPr>
                <w:rFonts w:hint="eastAsia"/>
                <w:sz w:val="21"/>
                <w:szCs w:val="21"/>
                <w:lang w:val="en-GB"/>
              </w:rPr>
              <w:t>.</w:t>
            </w:r>
            <w:r>
              <w:rPr>
                <w:sz w:val="21"/>
                <w:szCs w:val="21"/>
                <w:lang w:val="en-GB"/>
              </w:rPr>
              <w:t>8388</w:t>
            </w:r>
          </w:p>
        </w:tc>
        <w:tc>
          <w:tcPr>
            <w:tcW w:w="1733" w:type="dxa"/>
            <w:vAlign w:val="center"/>
          </w:tcPr>
          <w:p>
            <w:pPr>
              <w:jc w:val="center"/>
              <w:rPr>
                <w:snapToGrid w:val="0"/>
                <w:kern w:val="21"/>
                <w:sz w:val="21"/>
                <w:szCs w:val="21"/>
              </w:rPr>
            </w:pPr>
            <w:r>
              <w:rPr>
                <w:snapToGrid w:val="0"/>
                <w:kern w:val="21"/>
                <w:sz w:val="21"/>
                <w:szCs w:val="21"/>
              </w:rPr>
              <w:t>27.4612</w:t>
            </w:r>
          </w:p>
        </w:tc>
        <w:tc>
          <w:tcPr>
            <w:tcW w:w="1928" w:type="dxa"/>
            <w:vAlign w:val="center"/>
          </w:tcPr>
          <w:p>
            <w:pPr>
              <w:adjustRightInd w:val="0"/>
              <w:snapToGrid w:val="0"/>
              <w:spacing w:line="360" w:lineRule="auto"/>
              <w:jc w:val="center"/>
              <w:rPr>
                <w:kern w:val="0"/>
                <w:sz w:val="21"/>
                <w:szCs w:val="21"/>
              </w:rPr>
            </w:pPr>
            <w:r>
              <w:rPr>
                <w:sz w:val="21"/>
                <w:szCs w:val="21"/>
                <w:lang w:val="en-GB"/>
              </w:rPr>
              <w:t>182</w:t>
            </w:r>
            <w:r>
              <w:rPr>
                <w:rFonts w:hint="eastAsia"/>
                <w:sz w:val="21"/>
                <w:szCs w:val="21"/>
                <w:lang w:val="en-GB"/>
              </w:rPr>
              <w:t>.</w:t>
            </w:r>
            <w:r>
              <w:rPr>
                <w:sz w:val="21"/>
                <w:szCs w:val="21"/>
                <w:lang w:val="en-GB"/>
              </w:rPr>
              <w:t>8388</w:t>
            </w:r>
          </w:p>
        </w:tc>
        <w:tc>
          <w:tcPr>
            <w:tcW w:w="1184" w:type="dxa"/>
            <w:vAlign w:val="center"/>
          </w:tcPr>
          <w:p>
            <w:pPr>
              <w:jc w:val="center"/>
              <w:rPr>
                <w:snapToGrid w:val="0"/>
                <w:kern w:val="21"/>
                <w:sz w:val="21"/>
                <w:szCs w:val="21"/>
              </w:rPr>
            </w:pPr>
            <w:r>
              <w:rPr>
                <w:snapToGrid w:val="0"/>
                <w:kern w:val="21"/>
                <w:sz w:val="21"/>
                <w:szCs w:val="21"/>
              </w:rPr>
              <w:t>-27.4612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jc w:val="center"/>
              <w:rPr>
                <w:kern w:val="0"/>
                <w:sz w:val="21"/>
                <w:szCs w:val="21"/>
              </w:rPr>
            </w:pPr>
            <w:r>
              <w:rPr>
                <w:rFonts w:hint="eastAsia"/>
                <w:kern w:val="0"/>
                <w:sz w:val="21"/>
                <w:szCs w:val="21"/>
              </w:rPr>
              <w:t>边角料</w:t>
            </w:r>
          </w:p>
        </w:tc>
        <w:tc>
          <w:tcPr>
            <w:tcW w:w="1674" w:type="dxa"/>
            <w:vAlign w:val="center"/>
          </w:tcPr>
          <w:p>
            <w:pPr>
              <w:jc w:val="center"/>
              <w:rPr>
                <w:kern w:val="0"/>
                <w:sz w:val="21"/>
                <w:szCs w:val="21"/>
              </w:rPr>
            </w:pPr>
            <w:r>
              <w:rPr>
                <w:kern w:val="0"/>
                <w:sz w:val="21"/>
                <w:szCs w:val="21"/>
              </w:rPr>
              <w:t>221</w:t>
            </w:r>
            <w:r>
              <w:rPr>
                <w:rFonts w:hint="eastAsia"/>
                <w:kern w:val="0"/>
                <w:sz w:val="21"/>
                <w:szCs w:val="21"/>
              </w:rPr>
              <w:t>.</w:t>
            </w:r>
            <w:r>
              <w:rPr>
                <w:kern w:val="0"/>
                <w:sz w:val="21"/>
                <w:szCs w:val="21"/>
              </w:rPr>
              <w:t>1</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rFonts w:hint="eastAsia"/>
                <w:sz w:val="21"/>
                <w:szCs w:val="21"/>
              </w:rPr>
              <w:t>1</w:t>
            </w:r>
            <w:r>
              <w:rPr>
                <w:sz w:val="21"/>
                <w:szCs w:val="21"/>
              </w:rPr>
              <w:t>50</w:t>
            </w:r>
          </w:p>
        </w:tc>
        <w:tc>
          <w:tcPr>
            <w:tcW w:w="1733" w:type="dxa"/>
            <w:vAlign w:val="center"/>
          </w:tcPr>
          <w:p>
            <w:pPr>
              <w:jc w:val="center"/>
              <w:rPr>
                <w:snapToGrid w:val="0"/>
                <w:kern w:val="21"/>
                <w:sz w:val="21"/>
                <w:szCs w:val="21"/>
              </w:rPr>
            </w:pPr>
            <w:r>
              <w:rPr>
                <w:rFonts w:hint="eastAsia"/>
                <w:snapToGrid w:val="0"/>
                <w:kern w:val="21"/>
                <w:sz w:val="21"/>
                <w:szCs w:val="21"/>
              </w:rPr>
              <w:t>7</w:t>
            </w:r>
            <w:r>
              <w:rPr>
                <w:snapToGrid w:val="0"/>
                <w:kern w:val="21"/>
                <w:sz w:val="21"/>
                <w:szCs w:val="21"/>
              </w:rPr>
              <w:t>1.1</w:t>
            </w:r>
          </w:p>
        </w:tc>
        <w:tc>
          <w:tcPr>
            <w:tcW w:w="1928" w:type="dxa"/>
            <w:vAlign w:val="center"/>
          </w:tcPr>
          <w:p>
            <w:pPr>
              <w:adjustRightInd w:val="0"/>
              <w:snapToGrid w:val="0"/>
              <w:spacing w:line="360" w:lineRule="auto"/>
              <w:jc w:val="center"/>
              <w:rPr>
                <w:kern w:val="0"/>
                <w:sz w:val="21"/>
                <w:szCs w:val="21"/>
              </w:rPr>
            </w:pPr>
            <w:r>
              <w:rPr>
                <w:rFonts w:hint="eastAsia"/>
                <w:sz w:val="21"/>
                <w:szCs w:val="21"/>
              </w:rPr>
              <w:t>1</w:t>
            </w:r>
            <w:r>
              <w:rPr>
                <w:sz w:val="21"/>
                <w:szCs w:val="21"/>
              </w:rPr>
              <w:t>50</w:t>
            </w:r>
          </w:p>
        </w:tc>
        <w:tc>
          <w:tcPr>
            <w:tcW w:w="1184" w:type="dxa"/>
            <w:vAlign w:val="center"/>
          </w:tcPr>
          <w:p>
            <w:pPr>
              <w:jc w:val="center"/>
              <w:rPr>
                <w:snapToGrid w:val="0"/>
                <w:kern w:val="21"/>
                <w:sz w:val="21"/>
                <w:szCs w:val="21"/>
              </w:rPr>
            </w:pPr>
            <w:r>
              <w:rPr>
                <w:snapToGrid w:val="0"/>
                <w:kern w:val="21"/>
                <w:sz w:val="21"/>
                <w:szCs w:val="21"/>
              </w:rPr>
              <w:t>-</w:t>
            </w:r>
            <w:r>
              <w:rPr>
                <w:rFonts w:hint="eastAsia"/>
                <w:snapToGrid w:val="0"/>
                <w:kern w:val="21"/>
                <w:sz w:val="21"/>
                <w:szCs w:val="21"/>
              </w:rPr>
              <w:t>7</w:t>
            </w:r>
            <w:r>
              <w:rPr>
                <w:snapToGrid w:val="0"/>
                <w:kern w:val="21"/>
                <w:sz w:val="21"/>
                <w:szCs w:val="21"/>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jc w:val="center"/>
              <w:rPr>
                <w:kern w:val="0"/>
                <w:sz w:val="21"/>
                <w:szCs w:val="21"/>
              </w:rPr>
            </w:pPr>
            <w:r>
              <w:rPr>
                <w:rFonts w:hint="eastAsia"/>
                <w:kern w:val="0"/>
                <w:sz w:val="21"/>
                <w:szCs w:val="21"/>
              </w:rPr>
              <w:t>不合格品</w:t>
            </w:r>
          </w:p>
        </w:tc>
        <w:tc>
          <w:tcPr>
            <w:tcW w:w="1674" w:type="dxa"/>
            <w:vAlign w:val="center"/>
          </w:tcPr>
          <w:p>
            <w:pPr>
              <w:jc w:val="center"/>
              <w:rPr>
                <w:kern w:val="0"/>
                <w:sz w:val="21"/>
                <w:szCs w:val="21"/>
              </w:rPr>
            </w:pPr>
            <w:r>
              <w:rPr>
                <w:kern w:val="0"/>
                <w:sz w:val="21"/>
                <w:szCs w:val="21"/>
              </w:rPr>
              <w:t>300</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rFonts w:hint="eastAsia"/>
                <w:sz w:val="21"/>
                <w:szCs w:val="21"/>
              </w:rPr>
              <w:t>1</w:t>
            </w:r>
            <w:r>
              <w:rPr>
                <w:sz w:val="21"/>
                <w:szCs w:val="21"/>
              </w:rPr>
              <w:t>70</w:t>
            </w:r>
          </w:p>
        </w:tc>
        <w:tc>
          <w:tcPr>
            <w:tcW w:w="1733" w:type="dxa"/>
            <w:vAlign w:val="center"/>
          </w:tcPr>
          <w:p>
            <w:pPr>
              <w:jc w:val="center"/>
              <w:rPr>
                <w:snapToGrid w:val="0"/>
                <w:kern w:val="21"/>
                <w:sz w:val="21"/>
                <w:szCs w:val="21"/>
              </w:rPr>
            </w:pPr>
            <w:r>
              <w:rPr>
                <w:rFonts w:hint="eastAsia"/>
                <w:snapToGrid w:val="0"/>
                <w:kern w:val="21"/>
                <w:sz w:val="21"/>
                <w:szCs w:val="21"/>
              </w:rPr>
              <w:t>1</w:t>
            </w:r>
            <w:r>
              <w:rPr>
                <w:snapToGrid w:val="0"/>
                <w:kern w:val="21"/>
                <w:sz w:val="21"/>
                <w:szCs w:val="21"/>
              </w:rPr>
              <w:t>30</w:t>
            </w:r>
          </w:p>
        </w:tc>
        <w:tc>
          <w:tcPr>
            <w:tcW w:w="1928" w:type="dxa"/>
            <w:vAlign w:val="center"/>
          </w:tcPr>
          <w:p>
            <w:pPr>
              <w:adjustRightInd w:val="0"/>
              <w:snapToGrid w:val="0"/>
              <w:spacing w:line="360" w:lineRule="auto"/>
              <w:jc w:val="center"/>
              <w:rPr>
                <w:kern w:val="0"/>
                <w:sz w:val="21"/>
                <w:szCs w:val="21"/>
              </w:rPr>
            </w:pPr>
            <w:r>
              <w:rPr>
                <w:rFonts w:hint="eastAsia"/>
                <w:sz w:val="21"/>
                <w:szCs w:val="21"/>
              </w:rPr>
              <w:t>1</w:t>
            </w:r>
            <w:r>
              <w:rPr>
                <w:sz w:val="21"/>
                <w:szCs w:val="21"/>
              </w:rPr>
              <w:t>70</w:t>
            </w:r>
          </w:p>
        </w:tc>
        <w:tc>
          <w:tcPr>
            <w:tcW w:w="1184" w:type="dxa"/>
            <w:vAlign w:val="center"/>
          </w:tcPr>
          <w:p>
            <w:pPr>
              <w:jc w:val="center"/>
              <w:rPr>
                <w:snapToGrid w:val="0"/>
                <w:kern w:val="21"/>
                <w:sz w:val="21"/>
                <w:szCs w:val="21"/>
              </w:rPr>
            </w:pPr>
            <w:r>
              <w:rPr>
                <w:snapToGrid w:val="0"/>
                <w:kern w:val="21"/>
                <w:sz w:val="21"/>
                <w:szCs w:val="21"/>
              </w:rPr>
              <w:t>-</w:t>
            </w:r>
            <w:r>
              <w:rPr>
                <w:rFonts w:hint="eastAsia"/>
                <w:snapToGrid w:val="0"/>
                <w:kern w:val="21"/>
                <w:sz w:val="21"/>
                <w:szCs w:val="21"/>
              </w:rPr>
              <w:t>1</w:t>
            </w:r>
            <w:r>
              <w:rPr>
                <w:snapToGrid w:val="0"/>
                <w:kern w:val="21"/>
                <w:sz w:val="21"/>
                <w:szCs w:val="21"/>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jc w:val="center"/>
              <w:rPr>
                <w:kern w:val="0"/>
                <w:sz w:val="21"/>
                <w:szCs w:val="21"/>
              </w:rPr>
            </w:pPr>
            <w:r>
              <w:rPr>
                <w:rFonts w:hint="eastAsia"/>
                <w:kern w:val="0"/>
                <w:sz w:val="21"/>
                <w:szCs w:val="21"/>
              </w:rPr>
              <w:t>生活垃圾</w:t>
            </w:r>
          </w:p>
        </w:tc>
        <w:tc>
          <w:tcPr>
            <w:tcW w:w="1674" w:type="dxa"/>
            <w:vAlign w:val="center"/>
          </w:tcPr>
          <w:p>
            <w:pPr>
              <w:jc w:val="center"/>
              <w:rPr>
                <w:kern w:val="0"/>
                <w:sz w:val="21"/>
                <w:szCs w:val="21"/>
              </w:rPr>
            </w:pPr>
            <w:r>
              <w:rPr>
                <w:rFonts w:hint="eastAsia"/>
                <w:kern w:val="0"/>
                <w:sz w:val="21"/>
                <w:szCs w:val="21"/>
              </w:rPr>
              <w:t>3.</w:t>
            </w:r>
            <w:r>
              <w:rPr>
                <w:kern w:val="0"/>
                <w:sz w:val="21"/>
                <w:szCs w:val="21"/>
              </w:rPr>
              <w:t>5</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rFonts w:hint="eastAsia"/>
                <w:kern w:val="0"/>
                <w:sz w:val="21"/>
                <w:szCs w:val="21"/>
              </w:rPr>
              <w:t>/</w:t>
            </w:r>
          </w:p>
        </w:tc>
        <w:tc>
          <w:tcPr>
            <w:tcW w:w="1733" w:type="dxa"/>
            <w:vAlign w:val="center"/>
          </w:tcPr>
          <w:p>
            <w:pPr>
              <w:jc w:val="center"/>
              <w:rPr>
                <w:snapToGrid w:val="0"/>
                <w:kern w:val="21"/>
                <w:sz w:val="21"/>
                <w:szCs w:val="21"/>
              </w:rPr>
            </w:pPr>
            <w:r>
              <w:rPr>
                <w:rFonts w:hint="eastAsia"/>
                <w:kern w:val="0"/>
                <w:sz w:val="21"/>
                <w:szCs w:val="21"/>
              </w:rPr>
              <w:t>/</w:t>
            </w:r>
          </w:p>
        </w:tc>
        <w:tc>
          <w:tcPr>
            <w:tcW w:w="1928" w:type="dxa"/>
            <w:vAlign w:val="center"/>
          </w:tcPr>
          <w:p>
            <w:pPr>
              <w:adjustRightInd w:val="0"/>
              <w:snapToGrid w:val="0"/>
              <w:spacing w:line="360" w:lineRule="auto"/>
              <w:jc w:val="center"/>
              <w:rPr>
                <w:kern w:val="0"/>
                <w:sz w:val="21"/>
                <w:szCs w:val="21"/>
              </w:rPr>
            </w:pPr>
            <w:r>
              <w:rPr>
                <w:rFonts w:hint="eastAsia"/>
                <w:kern w:val="0"/>
                <w:sz w:val="21"/>
                <w:szCs w:val="21"/>
              </w:rPr>
              <w:t>3</w:t>
            </w:r>
            <w:r>
              <w:rPr>
                <w:kern w:val="0"/>
                <w:sz w:val="21"/>
                <w:szCs w:val="21"/>
              </w:rPr>
              <w:t>.5</w:t>
            </w:r>
          </w:p>
        </w:tc>
        <w:tc>
          <w:tcPr>
            <w:tcW w:w="1184" w:type="dxa"/>
            <w:vAlign w:val="center"/>
          </w:tcPr>
          <w:p>
            <w:pPr>
              <w:jc w:val="center"/>
              <w:rPr>
                <w:snapToGrid w:val="0"/>
                <w:kern w:val="21"/>
                <w:sz w:val="21"/>
                <w:szCs w:val="21"/>
              </w:rPr>
            </w:pP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restart"/>
            <w:vAlign w:val="center"/>
          </w:tcPr>
          <w:p>
            <w:pPr>
              <w:pStyle w:val="77"/>
              <w:spacing w:beforeLines="0" w:afterLines="0" w:line="240" w:lineRule="auto"/>
              <w:rPr>
                <w:rFonts w:ascii="Times New Roman"/>
                <w:snapToGrid w:val="0"/>
                <w:kern w:val="21"/>
                <w:sz w:val="21"/>
                <w:szCs w:val="21"/>
              </w:rPr>
            </w:pPr>
            <w:r>
              <w:rPr>
                <w:rFonts w:hint="eastAsia" w:ascii="Times New Roman"/>
                <w:snapToGrid w:val="0"/>
                <w:kern w:val="21"/>
                <w:sz w:val="21"/>
                <w:szCs w:val="21"/>
              </w:rPr>
              <w:t>危险废物</w:t>
            </w:r>
          </w:p>
        </w:tc>
        <w:tc>
          <w:tcPr>
            <w:tcW w:w="1394" w:type="dxa"/>
            <w:vAlign w:val="center"/>
          </w:tcPr>
          <w:p>
            <w:pPr>
              <w:jc w:val="center"/>
              <w:rPr>
                <w:kern w:val="0"/>
                <w:sz w:val="21"/>
                <w:szCs w:val="21"/>
              </w:rPr>
            </w:pPr>
            <w:r>
              <w:rPr>
                <w:rFonts w:hint="eastAsia"/>
                <w:kern w:val="0"/>
                <w:sz w:val="21"/>
                <w:szCs w:val="21"/>
              </w:rPr>
              <w:t>废UV灯管</w:t>
            </w:r>
          </w:p>
        </w:tc>
        <w:tc>
          <w:tcPr>
            <w:tcW w:w="1674" w:type="dxa"/>
            <w:vAlign w:val="center"/>
          </w:tcPr>
          <w:p>
            <w:pPr>
              <w:jc w:val="center"/>
              <w:rPr>
                <w:kern w:val="0"/>
                <w:sz w:val="21"/>
                <w:szCs w:val="21"/>
              </w:rPr>
            </w:pPr>
            <w:r>
              <w:rPr>
                <w:rFonts w:hint="eastAsia"/>
                <w:kern w:val="0"/>
                <w:sz w:val="21"/>
                <w:szCs w:val="21"/>
              </w:rPr>
              <w:t>0.</w:t>
            </w:r>
            <w:r>
              <w:rPr>
                <w:kern w:val="0"/>
                <w:sz w:val="21"/>
                <w:szCs w:val="21"/>
              </w:rPr>
              <w:t>2</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rFonts w:hint="eastAsia"/>
                <w:kern w:val="0"/>
                <w:sz w:val="21"/>
                <w:szCs w:val="21"/>
              </w:rPr>
              <w:t>/</w:t>
            </w:r>
          </w:p>
        </w:tc>
        <w:tc>
          <w:tcPr>
            <w:tcW w:w="1733" w:type="dxa"/>
            <w:vAlign w:val="center"/>
          </w:tcPr>
          <w:p>
            <w:pPr>
              <w:jc w:val="center"/>
              <w:rPr>
                <w:snapToGrid w:val="0"/>
                <w:kern w:val="21"/>
                <w:sz w:val="21"/>
                <w:szCs w:val="21"/>
              </w:rPr>
            </w:pPr>
            <w:r>
              <w:rPr>
                <w:rFonts w:hint="eastAsia"/>
                <w:kern w:val="0"/>
                <w:sz w:val="21"/>
                <w:szCs w:val="21"/>
              </w:rPr>
              <w:t>/</w:t>
            </w:r>
          </w:p>
        </w:tc>
        <w:tc>
          <w:tcPr>
            <w:tcW w:w="1928" w:type="dxa"/>
            <w:vAlign w:val="center"/>
          </w:tcPr>
          <w:p>
            <w:pPr>
              <w:adjustRightInd w:val="0"/>
              <w:snapToGrid w:val="0"/>
              <w:spacing w:line="360" w:lineRule="auto"/>
              <w:jc w:val="center"/>
              <w:rPr>
                <w:kern w:val="0"/>
                <w:sz w:val="21"/>
                <w:szCs w:val="21"/>
              </w:rPr>
            </w:pPr>
            <w:r>
              <w:rPr>
                <w:rFonts w:hint="eastAsia"/>
                <w:kern w:val="0"/>
                <w:sz w:val="21"/>
                <w:szCs w:val="21"/>
              </w:rPr>
              <w:t>0.</w:t>
            </w:r>
            <w:r>
              <w:rPr>
                <w:kern w:val="0"/>
                <w:sz w:val="21"/>
                <w:szCs w:val="21"/>
              </w:rPr>
              <w:t>2</w:t>
            </w:r>
          </w:p>
        </w:tc>
        <w:tc>
          <w:tcPr>
            <w:tcW w:w="1184" w:type="dxa"/>
            <w:vAlign w:val="center"/>
          </w:tcPr>
          <w:p>
            <w:pPr>
              <w:jc w:val="center"/>
              <w:rPr>
                <w:snapToGrid w:val="0"/>
                <w:kern w:val="21"/>
                <w:sz w:val="21"/>
                <w:szCs w:val="21"/>
              </w:rPr>
            </w:pPr>
            <w:r>
              <w:rPr>
                <w:rFonts w:hint="eastAsia"/>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jc w:val="center"/>
              <w:rPr>
                <w:kern w:val="0"/>
                <w:sz w:val="21"/>
                <w:szCs w:val="21"/>
              </w:rPr>
            </w:pPr>
            <w:r>
              <w:rPr>
                <w:rFonts w:hint="eastAsia"/>
                <w:kern w:val="0"/>
                <w:sz w:val="21"/>
                <w:szCs w:val="21"/>
              </w:rPr>
              <w:t>废活性炭</w:t>
            </w:r>
          </w:p>
        </w:tc>
        <w:tc>
          <w:tcPr>
            <w:tcW w:w="1674" w:type="dxa"/>
            <w:vAlign w:val="center"/>
          </w:tcPr>
          <w:p>
            <w:pPr>
              <w:jc w:val="center"/>
              <w:rPr>
                <w:kern w:val="0"/>
                <w:sz w:val="21"/>
                <w:szCs w:val="21"/>
              </w:rPr>
            </w:pPr>
            <w:r>
              <w:rPr>
                <w:rFonts w:hint="eastAsia"/>
                <w:kern w:val="0"/>
                <w:sz w:val="21"/>
                <w:szCs w:val="21"/>
              </w:rPr>
              <w:t>3.</w:t>
            </w:r>
            <w:r>
              <w:rPr>
                <w:kern w:val="0"/>
                <w:sz w:val="21"/>
                <w:szCs w:val="21"/>
              </w:rPr>
              <w:t>4</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rFonts w:hint="eastAsia"/>
                <w:sz w:val="21"/>
                <w:szCs w:val="21"/>
              </w:rPr>
              <w:t>/</w:t>
            </w:r>
          </w:p>
        </w:tc>
        <w:tc>
          <w:tcPr>
            <w:tcW w:w="1733" w:type="dxa"/>
            <w:vAlign w:val="center"/>
          </w:tcPr>
          <w:p>
            <w:pPr>
              <w:jc w:val="center"/>
              <w:rPr>
                <w:snapToGrid w:val="0"/>
                <w:kern w:val="21"/>
                <w:sz w:val="21"/>
                <w:szCs w:val="21"/>
              </w:rPr>
            </w:pPr>
            <w:r>
              <w:rPr>
                <w:rFonts w:hint="eastAsia"/>
                <w:sz w:val="21"/>
                <w:szCs w:val="21"/>
              </w:rPr>
              <w:t>/</w:t>
            </w:r>
          </w:p>
        </w:tc>
        <w:tc>
          <w:tcPr>
            <w:tcW w:w="1928" w:type="dxa"/>
            <w:vAlign w:val="center"/>
          </w:tcPr>
          <w:p>
            <w:pPr>
              <w:adjustRightInd w:val="0"/>
              <w:snapToGrid w:val="0"/>
              <w:spacing w:line="360" w:lineRule="auto"/>
              <w:jc w:val="center"/>
              <w:rPr>
                <w:kern w:val="0"/>
                <w:sz w:val="21"/>
                <w:szCs w:val="21"/>
              </w:rPr>
            </w:pPr>
            <w:r>
              <w:rPr>
                <w:rFonts w:hint="eastAsia"/>
                <w:kern w:val="0"/>
                <w:sz w:val="21"/>
                <w:szCs w:val="21"/>
              </w:rPr>
              <w:t>3.</w:t>
            </w:r>
            <w:r>
              <w:rPr>
                <w:kern w:val="0"/>
                <w:sz w:val="21"/>
                <w:szCs w:val="21"/>
              </w:rPr>
              <w:t>4</w:t>
            </w:r>
          </w:p>
        </w:tc>
        <w:tc>
          <w:tcPr>
            <w:tcW w:w="1184" w:type="dxa"/>
            <w:vAlign w:val="center"/>
          </w:tcPr>
          <w:p>
            <w:pPr>
              <w:jc w:val="center"/>
              <w:rPr>
                <w:snapToGrid w:val="0"/>
                <w:kern w:val="21"/>
                <w:sz w:val="21"/>
                <w:szCs w:val="21"/>
              </w:rPr>
            </w:pPr>
            <w:r>
              <w:rPr>
                <w:rFonts w:hint="eastAsia"/>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563" w:type="dxa"/>
            <w:vMerge w:val="continue"/>
            <w:vAlign w:val="center"/>
          </w:tcPr>
          <w:p>
            <w:pPr>
              <w:pStyle w:val="77"/>
              <w:spacing w:beforeLines="0" w:afterLines="0" w:line="240" w:lineRule="auto"/>
              <w:rPr>
                <w:rFonts w:ascii="Times New Roman"/>
                <w:snapToGrid w:val="0"/>
                <w:kern w:val="21"/>
                <w:sz w:val="21"/>
                <w:szCs w:val="21"/>
              </w:rPr>
            </w:pPr>
          </w:p>
        </w:tc>
        <w:tc>
          <w:tcPr>
            <w:tcW w:w="1394" w:type="dxa"/>
            <w:vAlign w:val="center"/>
          </w:tcPr>
          <w:p>
            <w:pPr>
              <w:jc w:val="center"/>
              <w:rPr>
                <w:kern w:val="0"/>
                <w:sz w:val="21"/>
                <w:szCs w:val="21"/>
              </w:rPr>
            </w:pPr>
            <w:r>
              <w:rPr>
                <w:rFonts w:hint="eastAsia"/>
                <w:kern w:val="0"/>
                <w:sz w:val="21"/>
                <w:szCs w:val="21"/>
              </w:rPr>
              <w:t>废导热油</w:t>
            </w:r>
          </w:p>
        </w:tc>
        <w:tc>
          <w:tcPr>
            <w:tcW w:w="1674" w:type="dxa"/>
            <w:vAlign w:val="center"/>
          </w:tcPr>
          <w:p>
            <w:pPr>
              <w:jc w:val="center"/>
              <w:rPr>
                <w:kern w:val="0"/>
                <w:sz w:val="21"/>
                <w:szCs w:val="21"/>
              </w:rPr>
            </w:pPr>
            <w:r>
              <w:rPr>
                <w:rFonts w:hint="eastAsia"/>
                <w:kern w:val="0"/>
                <w:sz w:val="21"/>
                <w:szCs w:val="21"/>
              </w:rPr>
              <w:t>/</w:t>
            </w:r>
          </w:p>
        </w:tc>
        <w:tc>
          <w:tcPr>
            <w:tcW w:w="1256" w:type="dxa"/>
            <w:vAlign w:val="center"/>
          </w:tcPr>
          <w:p>
            <w:pPr>
              <w:jc w:val="center"/>
              <w:rPr>
                <w:snapToGrid w:val="0"/>
                <w:kern w:val="21"/>
                <w:sz w:val="21"/>
                <w:szCs w:val="21"/>
              </w:rPr>
            </w:pPr>
            <w:r>
              <w:rPr>
                <w:snapToGrid w:val="0"/>
                <w:kern w:val="21"/>
                <w:sz w:val="21"/>
                <w:szCs w:val="21"/>
              </w:rPr>
              <w:t>/</w:t>
            </w:r>
          </w:p>
        </w:tc>
        <w:tc>
          <w:tcPr>
            <w:tcW w:w="1674" w:type="dxa"/>
            <w:vAlign w:val="center"/>
          </w:tcPr>
          <w:p>
            <w:pPr>
              <w:jc w:val="center"/>
              <w:rPr>
                <w:snapToGrid w:val="0"/>
                <w:kern w:val="21"/>
                <w:sz w:val="21"/>
                <w:szCs w:val="21"/>
              </w:rPr>
            </w:pPr>
            <w:r>
              <w:rPr>
                <w:snapToGrid w:val="0"/>
                <w:kern w:val="21"/>
                <w:sz w:val="21"/>
                <w:szCs w:val="21"/>
              </w:rPr>
              <w:t>/</w:t>
            </w:r>
          </w:p>
        </w:tc>
        <w:tc>
          <w:tcPr>
            <w:tcW w:w="1534" w:type="dxa"/>
            <w:vAlign w:val="center"/>
          </w:tcPr>
          <w:p>
            <w:pPr>
              <w:adjustRightInd w:val="0"/>
              <w:snapToGrid w:val="0"/>
              <w:spacing w:line="360" w:lineRule="auto"/>
              <w:jc w:val="center"/>
              <w:rPr>
                <w:kern w:val="0"/>
                <w:sz w:val="21"/>
                <w:szCs w:val="21"/>
              </w:rPr>
            </w:pPr>
            <w:r>
              <w:rPr>
                <w:rFonts w:hint="eastAsia"/>
                <w:sz w:val="21"/>
                <w:szCs w:val="21"/>
              </w:rPr>
              <w:t>2.</w:t>
            </w:r>
            <w:r>
              <w:rPr>
                <w:sz w:val="21"/>
                <w:szCs w:val="21"/>
              </w:rPr>
              <w:t>5</w:t>
            </w:r>
          </w:p>
        </w:tc>
        <w:tc>
          <w:tcPr>
            <w:tcW w:w="1733" w:type="dxa"/>
            <w:vAlign w:val="center"/>
          </w:tcPr>
          <w:p>
            <w:pPr>
              <w:jc w:val="center"/>
              <w:rPr>
                <w:snapToGrid w:val="0"/>
                <w:kern w:val="21"/>
                <w:sz w:val="21"/>
                <w:szCs w:val="21"/>
              </w:rPr>
            </w:pPr>
            <w:r>
              <w:rPr>
                <w:rFonts w:hint="eastAsia"/>
                <w:kern w:val="0"/>
                <w:sz w:val="21"/>
                <w:szCs w:val="21"/>
              </w:rPr>
              <w:t>/</w:t>
            </w:r>
          </w:p>
        </w:tc>
        <w:tc>
          <w:tcPr>
            <w:tcW w:w="1928" w:type="dxa"/>
            <w:vAlign w:val="center"/>
          </w:tcPr>
          <w:p>
            <w:pPr>
              <w:adjustRightInd w:val="0"/>
              <w:snapToGrid w:val="0"/>
              <w:spacing w:line="360" w:lineRule="auto"/>
              <w:jc w:val="center"/>
              <w:rPr>
                <w:kern w:val="0"/>
                <w:sz w:val="21"/>
                <w:szCs w:val="21"/>
              </w:rPr>
            </w:pPr>
            <w:r>
              <w:rPr>
                <w:rFonts w:hint="eastAsia"/>
                <w:kern w:val="0"/>
                <w:sz w:val="21"/>
                <w:szCs w:val="21"/>
              </w:rPr>
              <w:t>2</w:t>
            </w:r>
            <w:r>
              <w:rPr>
                <w:kern w:val="0"/>
                <w:sz w:val="21"/>
                <w:szCs w:val="21"/>
              </w:rPr>
              <w:t>.5</w:t>
            </w:r>
          </w:p>
        </w:tc>
        <w:tc>
          <w:tcPr>
            <w:tcW w:w="1184" w:type="dxa"/>
            <w:vAlign w:val="center"/>
          </w:tcPr>
          <w:p>
            <w:pPr>
              <w:jc w:val="center"/>
              <w:rPr>
                <w:snapToGrid w:val="0"/>
                <w:kern w:val="21"/>
                <w:sz w:val="21"/>
                <w:szCs w:val="21"/>
              </w:rPr>
            </w:pPr>
            <w:r>
              <w:rPr>
                <w:rFonts w:hint="eastAsia"/>
                <w:snapToGrid w:val="0"/>
                <w:kern w:val="21"/>
                <w:sz w:val="21"/>
                <w:szCs w:val="21"/>
              </w:rPr>
              <w:t>+</w:t>
            </w:r>
            <w:r>
              <w:rPr>
                <w:snapToGrid w:val="0"/>
                <w:kern w:val="21"/>
                <w:sz w:val="21"/>
                <w:szCs w:val="21"/>
              </w:rPr>
              <w:t>2.5</w:t>
            </w:r>
          </w:p>
        </w:tc>
      </w:tr>
    </w:tbl>
    <w:p>
      <w:pPr>
        <w:pStyle w:val="77"/>
        <w:spacing w:before="192" w:beforeLines="80" w:after="24"/>
        <w:jc w:val="left"/>
        <w:rPr>
          <w:rFonts w:eastAsia="黑体"/>
        </w:rPr>
      </w:pPr>
      <w:r>
        <w:rPr>
          <w:rFonts w:hAnsi="宋体"/>
          <w:snapToGrid w:val="0"/>
          <w:kern w:val="21"/>
          <w:sz w:val="21"/>
          <w:szCs w:val="21"/>
        </w:rPr>
        <w:t>注：</w:t>
      </w:r>
      <w:r>
        <w:rPr>
          <w:rFonts w:hAnsi="宋体"/>
          <w:snapToGrid w:val="0"/>
          <w:spacing w:val="-16"/>
          <w:kern w:val="21"/>
          <w:sz w:val="21"/>
          <w:szCs w:val="21"/>
        </w:rPr>
        <w:fldChar w:fldCharType="begin"/>
      </w:r>
      <w:r>
        <w:rPr>
          <w:rFonts w:hAnsi="宋体"/>
          <w:snapToGrid w:val="0"/>
          <w:spacing w:val="-16"/>
          <w:kern w:val="21"/>
          <w:sz w:val="21"/>
          <w:szCs w:val="21"/>
        </w:rPr>
        <w:instrText xml:space="preserve"> = 6 \* GB3 \* MERGEFORMAT </w:instrText>
      </w:r>
      <w:r>
        <w:rPr>
          <w:rFonts w:hAnsi="宋体"/>
          <w:snapToGrid w:val="0"/>
          <w:spacing w:val="-16"/>
          <w:kern w:val="21"/>
          <w:sz w:val="21"/>
          <w:szCs w:val="21"/>
        </w:rPr>
        <w:fldChar w:fldCharType="separate"/>
      </w:r>
      <w:r>
        <w:rPr>
          <w:rFonts w:hint="eastAsia" w:hAnsi="宋体"/>
          <w:sz w:val="21"/>
          <w:szCs w:val="21"/>
        </w:rPr>
        <w:t>⑥</w:t>
      </w:r>
      <w:r>
        <w:rPr>
          <w:rFonts w:hAnsi="宋体"/>
          <w:snapToGrid w:val="0"/>
          <w:spacing w:val="-16"/>
          <w:kern w:val="21"/>
          <w:sz w:val="21"/>
          <w:szCs w:val="21"/>
        </w:rPr>
        <w:fldChar w:fldCharType="end"/>
      </w:r>
      <w:r>
        <w:rPr>
          <w:rFonts w:hAnsi="宋体"/>
          <w:snapToGrid w:val="0"/>
          <w:spacing w:val="-1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1 \* GB3 \* MERGEFORMAT </w:instrText>
      </w:r>
      <w:r>
        <w:rPr>
          <w:rFonts w:hAnsi="宋体"/>
          <w:snapToGrid w:val="0"/>
          <w:spacing w:val="-6"/>
          <w:kern w:val="21"/>
          <w:sz w:val="21"/>
          <w:szCs w:val="21"/>
        </w:rPr>
        <w:fldChar w:fldCharType="separate"/>
      </w:r>
      <w:r>
        <w:rPr>
          <w:rFonts w:hint="eastAsia" w:hAnsi="宋体"/>
          <w:sz w:val="21"/>
          <w:szCs w:val="21"/>
        </w:rPr>
        <w:t>①</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3 \* GB3 \* MERGEFORMAT </w:instrText>
      </w:r>
      <w:r>
        <w:rPr>
          <w:rFonts w:hAnsi="宋体"/>
          <w:snapToGrid w:val="0"/>
          <w:spacing w:val="-6"/>
          <w:kern w:val="21"/>
          <w:sz w:val="21"/>
          <w:szCs w:val="21"/>
        </w:rPr>
        <w:fldChar w:fldCharType="separate"/>
      </w:r>
      <w:r>
        <w:rPr>
          <w:rFonts w:hint="eastAsia" w:hAnsi="宋体"/>
          <w:sz w:val="21"/>
          <w:szCs w:val="21"/>
        </w:rPr>
        <w:t>③</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4 \* GB3 \* MERGEFORMAT </w:instrText>
      </w:r>
      <w:r>
        <w:rPr>
          <w:rFonts w:hAnsi="宋体"/>
          <w:snapToGrid w:val="0"/>
          <w:spacing w:val="-6"/>
          <w:kern w:val="21"/>
          <w:sz w:val="21"/>
          <w:szCs w:val="21"/>
        </w:rPr>
        <w:fldChar w:fldCharType="separate"/>
      </w:r>
      <w:r>
        <w:rPr>
          <w:rFonts w:hint="eastAsia" w:hAnsi="宋体"/>
          <w:sz w:val="21"/>
          <w:szCs w:val="21"/>
        </w:rPr>
        <w:t>④</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16"/>
          <w:kern w:val="21"/>
          <w:sz w:val="21"/>
          <w:szCs w:val="21"/>
        </w:rPr>
        <w:fldChar w:fldCharType="begin"/>
      </w:r>
      <w:r>
        <w:rPr>
          <w:rFonts w:hAnsi="宋体"/>
          <w:snapToGrid w:val="0"/>
          <w:spacing w:val="-16"/>
          <w:kern w:val="21"/>
          <w:sz w:val="21"/>
          <w:szCs w:val="21"/>
        </w:rPr>
        <w:instrText xml:space="preserve"> = 5 \* GB3 \* MERGEFORMAT </w:instrText>
      </w:r>
      <w:r>
        <w:rPr>
          <w:rFonts w:hAnsi="宋体"/>
          <w:snapToGrid w:val="0"/>
          <w:spacing w:val="-16"/>
          <w:kern w:val="21"/>
          <w:sz w:val="21"/>
          <w:szCs w:val="21"/>
        </w:rPr>
        <w:fldChar w:fldCharType="separate"/>
      </w:r>
      <w:r>
        <w:rPr>
          <w:rFonts w:hint="eastAsia" w:hAnsi="宋体"/>
          <w:sz w:val="21"/>
          <w:szCs w:val="21"/>
        </w:rPr>
        <w:t>⑤</w:t>
      </w:r>
      <w:r>
        <w:rPr>
          <w:rFonts w:hAnsi="宋体"/>
          <w:snapToGrid w:val="0"/>
          <w:spacing w:val="-16"/>
          <w:kern w:val="21"/>
          <w:sz w:val="21"/>
          <w:szCs w:val="21"/>
        </w:rPr>
        <w:fldChar w:fldCharType="end"/>
      </w:r>
      <w:r>
        <w:rPr>
          <w:rFonts w:hAnsi="宋体"/>
          <w:snapToGrid w:val="0"/>
          <w:spacing w:val="-1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7 \* GB3 \* MERGEFORMAT </w:instrText>
      </w:r>
      <w:r>
        <w:rPr>
          <w:rFonts w:hAnsi="宋体"/>
          <w:snapToGrid w:val="0"/>
          <w:spacing w:val="-6"/>
          <w:kern w:val="21"/>
          <w:sz w:val="21"/>
          <w:szCs w:val="21"/>
        </w:rPr>
        <w:fldChar w:fldCharType="separate"/>
      </w:r>
      <w:r>
        <w:rPr>
          <w:rFonts w:hint="eastAsia" w:hAnsi="宋体"/>
          <w:sz w:val="21"/>
          <w:szCs w:val="21"/>
        </w:rPr>
        <w:t>⑦</w:t>
      </w:r>
      <w:r>
        <w:rPr>
          <w:rFonts w:hAnsi="宋体"/>
          <w:snapToGrid w:val="0"/>
          <w:spacing w:val="-6"/>
          <w:kern w:val="21"/>
          <w:sz w:val="21"/>
          <w:szCs w:val="21"/>
        </w:rPr>
        <w:fldChar w:fldCharType="end"/>
      </w:r>
      <w:r>
        <w:rPr>
          <w:rFonts w:hAnsi="宋体"/>
          <w:snapToGrid w:val="0"/>
          <w:spacing w:val="-6"/>
          <w:kern w:val="21"/>
          <w:sz w:val="21"/>
          <w:szCs w:val="21"/>
        </w:rPr>
        <w:t>=</w:t>
      </w:r>
      <w:r>
        <w:rPr>
          <w:rFonts w:hAnsi="宋体"/>
          <w:snapToGrid w:val="0"/>
          <w:spacing w:val="-16"/>
          <w:kern w:val="21"/>
          <w:sz w:val="21"/>
          <w:szCs w:val="21"/>
        </w:rPr>
        <w:fldChar w:fldCharType="begin"/>
      </w:r>
      <w:r>
        <w:rPr>
          <w:rFonts w:hAnsi="宋体"/>
          <w:snapToGrid w:val="0"/>
          <w:spacing w:val="-16"/>
          <w:kern w:val="21"/>
          <w:sz w:val="21"/>
          <w:szCs w:val="21"/>
        </w:rPr>
        <w:instrText xml:space="preserve"> = 6 \* GB3 \* MERGEFORMAT </w:instrText>
      </w:r>
      <w:r>
        <w:rPr>
          <w:rFonts w:hAnsi="宋体"/>
          <w:snapToGrid w:val="0"/>
          <w:spacing w:val="-16"/>
          <w:kern w:val="21"/>
          <w:sz w:val="21"/>
          <w:szCs w:val="21"/>
        </w:rPr>
        <w:fldChar w:fldCharType="separate"/>
      </w:r>
      <w:r>
        <w:rPr>
          <w:rFonts w:hint="eastAsia" w:hAnsi="宋体"/>
          <w:sz w:val="21"/>
          <w:szCs w:val="21"/>
        </w:rPr>
        <w:t>⑥</w:t>
      </w:r>
      <w:r>
        <w:rPr>
          <w:rFonts w:hAnsi="宋体"/>
          <w:snapToGrid w:val="0"/>
          <w:spacing w:val="-16"/>
          <w:kern w:val="21"/>
          <w:sz w:val="21"/>
          <w:szCs w:val="21"/>
        </w:rPr>
        <w:fldChar w:fldCharType="end"/>
      </w:r>
      <w:r>
        <w:rPr>
          <w:rFonts w:hAnsi="宋体"/>
          <w:snapToGrid w:val="0"/>
          <w:spacing w:val="-16"/>
          <w:kern w:val="21"/>
          <w:sz w:val="21"/>
          <w:szCs w:val="21"/>
        </w:rPr>
        <w:t>-</w:t>
      </w:r>
      <w:r>
        <w:rPr>
          <w:rFonts w:hAnsi="宋体"/>
          <w:snapToGrid w:val="0"/>
          <w:spacing w:val="-6"/>
          <w:kern w:val="21"/>
          <w:sz w:val="21"/>
          <w:szCs w:val="21"/>
        </w:rPr>
        <w:fldChar w:fldCharType="begin"/>
      </w:r>
      <w:r>
        <w:rPr>
          <w:rFonts w:hAnsi="宋体"/>
          <w:snapToGrid w:val="0"/>
          <w:spacing w:val="-6"/>
          <w:kern w:val="21"/>
          <w:sz w:val="21"/>
          <w:szCs w:val="21"/>
        </w:rPr>
        <w:instrText xml:space="preserve"> = 1 \* GB3 \* MERGEFORMAT </w:instrText>
      </w:r>
      <w:r>
        <w:rPr>
          <w:rFonts w:hAnsi="宋体"/>
          <w:snapToGrid w:val="0"/>
          <w:spacing w:val="-6"/>
          <w:kern w:val="21"/>
          <w:sz w:val="21"/>
          <w:szCs w:val="21"/>
        </w:rPr>
        <w:fldChar w:fldCharType="separate"/>
      </w:r>
      <w:r>
        <w:rPr>
          <w:rFonts w:hint="eastAsia" w:hAnsi="宋体"/>
          <w:sz w:val="21"/>
          <w:szCs w:val="21"/>
        </w:rPr>
        <w:t>①</w:t>
      </w:r>
      <w:r>
        <w:rPr>
          <w:rFonts w:hAnsi="宋体"/>
          <w:snapToGrid w:val="0"/>
          <w:spacing w:val="-6"/>
          <w:kern w:val="21"/>
          <w:sz w:val="21"/>
          <w:szCs w:val="21"/>
        </w:rPr>
        <w:fldChar w:fldCharType="end"/>
      </w:r>
    </w:p>
    <w:sectPr>
      <w:footerReference r:id="rId5" w:type="default"/>
      <w:pgSz w:w="16838" w:h="11906" w:orient="landscape"/>
      <w:pgMar w:top="1531" w:right="1701" w:bottom="1531" w:left="1701" w:header="851" w:footer="851"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Times New Roman”“">
    <w:altName w:val="宋体"/>
    <w:panose1 w:val="00000000000000000000"/>
    <w:charset w:val="86"/>
    <w:family w:val="roman"/>
    <w:pitch w:val="default"/>
    <w:sig w:usb0="00000000" w:usb1="00000000" w:usb2="00000010" w:usb3="00000000" w:csb0="00040000" w:csb1="00000000"/>
  </w:font>
  <w:font w:name="方正报宋简体">
    <w:altName w:val="宋体"/>
    <w:panose1 w:val="00000000000000000000"/>
    <w:charset w:val="86"/>
    <w:family w:val="auto"/>
    <w:pitch w:val="default"/>
    <w:sig w:usb0="00000000" w:usb1="00000000" w:usb2="00000010" w:usb3="00000000" w:csb0="00040000" w:csb1="00000000"/>
  </w:font>
  <w:font w:name="等线 Light">
    <w:altName w:val="宋体"/>
    <w:panose1 w:val="02010600030101010101"/>
    <w:charset w:val="86"/>
    <w:family w:val="auto"/>
    <w:pitch w:val="default"/>
    <w:sig w:usb0="00000000" w:usb1="00000000" w:usb2="00000016" w:usb3="00000000" w:csb0="0004000F" w:csb1="00000000"/>
  </w:font>
  <w:font w:name="Arial Unicode MS">
    <w:panose1 w:val="020B0604020202020204"/>
    <w:charset w:val="86"/>
    <w:family w:val="swiss"/>
    <w:pitch w:val="default"/>
    <w:sig w:usb0="FFFFFFFF" w:usb1="E9FFFFFF" w:usb2="0000003F" w:usb3="00000000" w:csb0="603F01FF" w:csb1="FFFF0000"/>
  </w:font>
  <w:font w:name="新宋体">
    <w:panose1 w:val="02010609030101010101"/>
    <w:charset w:val="86"/>
    <w:family w:val="modern"/>
    <w:pitch w:val="default"/>
    <w:sig w:usb0="00000003" w:usb1="288F0000" w:usb2="00000006" w:usb3="00000000" w:csb0="00040001" w:csb1="00000000"/>
  </w:font>
  <w:font w:name="方正小标宋_GBK">
    <w:panose1 w:val="02000000000000000000"/>
    <w:charset w:val="86"/>
    <w:family w:val="script"/>
    <w:pitch w:val="default"/>
    <w:sig w:usb0="A00002BF" w:usb1="38CF7CFA" w:usb2="00082016" w:usb3="00000000" w:csb0="00040001"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 w:name="PMingLiU">
    <w:panose1 w:val="02020500000000000000"/>
    <w:charset w:val="88"/>
    <w:family w:val="roman"/>
    <w:pitch w:val="default"/>
    <w:sig w:usb0="A00002FF" w:usb1="28CFFCFA" w:usb2="00000016" w:usb3="00000000" w:csb0="001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page" w:x="5356" w:y="-524"/>
      <w:rPr>
        <w:rStyle w:val="55"/>
        <w:rFonts w:ascii="宋体" w:hAnsi="宋体"/>
        <w:sz w:val="28"/>
        <w:szCs w:val="28"/>
      </w:rPr>
    </w:pPr>
    <w:r>
      <w:rPr>
        <w:rStyle w:val="55"/>
        <w:rFonts w:hint="eastAsia" w:ascii="宋体" w:hAnsi="宋体"/>
        <w:sz w:val="28"/>
        <w:szCs w:val="28"/>
      </w:rPr>
      <w:t>—</w:t>
    </w:r>
    <w:r>
      <w:rPr>
        <w:rStyle w:val="55"/>
        <w:rFonts w:hint="eastAsia" w:ascii="宋体" w:hAnsi="宋体"/>
        <w:sz w:val="20"/>
      </w:rPr>
      <w:t xml:space="preserve">  </w:t>
    </w:r>
    <w:r>
      <w:rPr>
        <w:rStyle w:val="55"/>
        <w:rFonts w:ascii="宋体" w:hAnsi="宋体"/>
        <w:sz w:val="26"/>
        <w:szCs w:val="26"/>
      </w:rPr>
      <w:fldChar w:fldCharType="begin"/>
    </w:r>
    <w:r>
      <w:rPr>
        <w:rStyle w:val="55"/>
        <w:rFonts w:ascii="宋体" w:hAnsi="宋体"/>
        <w:sz w:val="26"/>
        <w:szCs w:val="26"/>
      </w:rPr>
      <w:instrText xml:space="preserve">PAGE  </w:instrText>
    </w:r>
    <w:r>
      <w:rPr>
        <w:rStyle w:val="55"/>
        <w:rFonts w:ascii="宋体" w:hAnsi="宋体"/>
        <w:sz w:val="26"/>
        <w:szCs w:val="26"/>
      </w:rPr>
      <w:fldChar w:fldCharType="separate"/>
    </w:r>
    <w:r>
      <w:rPr>
        <w:rStyle w:val="55"/>
        <w:rFonts w:ascii="宋体" w:hAnsi="宋体"/>
        <w:sz w:val="26"/>
        <w:szCs w:val="26"/>
      </w:rPr>
      <w:t>44</w:t>
    </w:r>
    <w:r>
      <w:rPr>
        <w:rStyle w:val="55"/>
        <w:rFonts w:ascii="宋体" w:hAnsi="宋体"/>
        <w:sz w:val="26"/>
        <w:szCs w:val="26"/>
      </w:rPr>
      <w:fldChar w:fldCharType="end"/>
    </w:r>
    <w:r>
      <w:rPr>
        <w:rStyle w:val="55"/>
        <w:rFonts w:hint="eastAsia" w:ascii="宋体" w:hAnsi="宋体"/>
        <w:sz w:val="20"/>
      </w:rPr>
      <w:t xml:space="preserve">  </w:t>
    </w:r>
    <w:r>
      <w:rPr>
        <w:rStyle w:val="55"/>
        <w:rFonts w:hint="eastAsia" w:ascii="宋体" w:hAnsi="宋体"/>
        <w:sz w:val="28"/>
        <w:szCs w:val="28"/>
      </w:rPr>
      <w:t>—</w:t>
    </w:r>
  </w:p>
  <w:p>
    <w:pPr>
      <w:pStyle w:val="2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framePr w:wrap="around" w:vAnchor="text" w:hAnchor="margin" w:xAlign="outside" w:y="1"/>
      <w:rPr>
        <w:rStyle w:val="55"/>
        <w:rFonts w:ascii="宋体" w:hAnsi="宋体"/>
        <w:sz w:val="28"/>
        <w:szCs w:val="28"/>
      </w:rPr>
    </w:pPr>
    <w:r>
      <w:rPr>
        <w:rStyle w:val="55"/>
        <w:rFonts w:hint="eastAsia" w:ascii="宋体" w:hAnsi="宋体"/>
        <w:sz w:val="28"/>
        <w:szCs w:val="28"/>
      </w:rPr>
      <w:t>—</w:t>
    </w:r>
    <w:r>
      <w:rPr>
        <w:rStyle w:val="55"/>
        <w:rFonts w:hint="eastAsia" w:ascii="宋体" w:hAnsi="宋体"/>
        <w:sz w:val="20"/>
      </w:rPr>
      <w:t xml:space="preserve">  </w:t>
    </w:r>
    <w:r>
      <w:rPr>
        <w:rStyle w:val="55"/>
        <w:rFonts w:ascii="宋体" w:hAnsi="宋体"/>
        <w:sz w:val="26"/>
        <w:szCs w:val="26"/>
      </w:rPr>
      <w:fldChar w:fldCharType="begin"/>
    </w:r>
    <w:r>
      <w:rPr>
        <w:rStyle w:val="55"/>
        <w:rFonts w:ascii="宋体" w:hAnsi="宋体"/>
        <w:sz w:val="26"/>
        <w:szCs w:val="26"/>
      </w:rPr>
      <w:instrText xml:space="preserve">PAGE  </w:instrText>
    </w:r>
    <w:r>
      <w:rPr>
        <w:rStyle w:val="55"/>
        <w:rFonts w:ascii="宋体" w:hAnsi="宋体"/>
        <w:sz w:val="26"/>
        <w:szCs w:val="26"/>
      </w:rPr>
      <w:fldChar w:fldCharType="separate"/>
    </w:r>
    <w:r>
      <w:rPr>
        <w:rStyle w:val="55"/>
        <w:rFonts w:ascii="宋体" w:hAnsi="宋体"/>
        <w:sz w:val="26"/>
        <w:szCs w:val="26"/>
      </w:rPr>
      <w:t>74</w:t>
    </w:r>
    <w:r>
      <w:rPr>
        <w:rStyle w:val="55"/>
        <w:rFonts w:ascii="宋体" w:hAnsi="宋体"/>
        <w:sz w:val="26"/>
        <w:szCs w:val="26"/>
      </w:rPr>
      <w:fldChar w:fldCharType="end"/>
    </w:r>
    <w:r>
      <w:rPr>
        <w:rStyle w:val="55"/>
        <w:rFonts w:hint="eastAsia" w:ascii="宋体" w:hAnsi="宋体"/>
        <w:sz w:val="20"/>
      </w:rPr>
      <w:t xml:space="preserve">  </w:t>
    </w:r>
    <w:r>
      <w:rPr>
        <w:rStyle w:val="55"/>
        <w:rFonts w:hint="eastAsia" w:ascii="宋体" w:hAnsi="宋体"/>
        <w:sz w:val="28"/>
        <w:szCs w:val="28"/>
      </w:rPr>
      <w:t>—</w:t>
    </w:r>
  </w:p>
  <w:p>
    <w:pPr>
      <w:pStyle w:val="29"/>
      <w:ind w:right="360" w:firstLine="360"/>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Y2YxMTQ0YTBmODE5ZTJjMGUyNDYwMzVmYWM2ZGUifQ=="/>
  </w:docVars>
  <w:rsids>
    <w:rsidRoot w:val="00A14947"/>
    <w:rsid w:val="00000BE8"/>
    <w:rsid w:val="00003797"/>
    <w:rsid w:val="00003C4B"/>
    <w:rsid w:val="000060B3"/>
    <w:rsid w:val="00006787"/>
    <w:rsid w:val="00010310"/>
    <w:rsid w:val="0001070B"/>
    <w:rsid w:val="00012565"/>
    <w:rsid w:val="000135F3"/>
    <w:rsid w:val="00013CAB"/>
    <w:rsid w:val="00014210"/>
    <w:rsid w:val="00014B0E"/>
    <w:rsid w:val="00017B40"/>
    <w:rsid w:val="00017F34"/>
    <w:rsid w:val="0002032B"/>
    <w:rsid w:val="000243A0"/>
    <w:rsid w:val="00025276"/>
    <w:rsid w:val="00026AAE"/>
    <w:rsid w:val="00030174"/>
    <w:rsid w:val="00030FDC"/>
    <w:rsid w:val="0003165A"/>
    <w:rsid w:val="00040B3A"/>
    <w:rsid w:val="0004364B"/>
    <w:rsid w:val="00043851"/>
    <w:rsid w:val="000467C4"/>
    <w:rsid w:val="000476E1"/>
    <w:rsid w:val="0005205E"/>
    <w:rsid w:val="00053E7C"/>
    <w:rsid w:val="00055546"/>
    <w:rsid w:val="000562A9"/>
    <w:rsid w:val="00057B8A"/>
    <w:rsid w:val="000609D9"/>
    <w:rsid w:val="00061B1F"/>
    <w:rsid w:val="000644E0"/>
    <w:rsid w:val="00070D52"/>
    <w:rsid w:val="000733C4"/>
    <w:rsid w:val="00074783"/>
    <w:rsid w:val="0008070B"/>
    <w:rsid w:val="000810AC"/>
    <w:rsid w:val="00081A02"/>
    <w:rsid w:val="00082231"/>
    <w:rsid w:val="00082A2B"/>
    <w:rsid w:val="000831CC"/>
    <w:rsid w:val="000847E0"/>
    <w:rsid w:val="00086F7F"/>
    <w:rsid w:val="0009011C"/>
    <w:rsid w:val="00091745"/>
    <w:rsid w:val="00092D38"/>
    <w:rsid w:val="0009377B"/>
    <w:rsid w:val="000943AF"/>
    <w:rsid w:val="0009450B"/>
    <w:rsid w:val="00096941"/>
    <w:rsid w:val="00096CBD"/>
    <w:rsid w:val="000979B9"/>
    <w:rsid w:val="000A0593"/>
    <w:rsid w:val="000A20C9"/>
    <w:rsid w:val="000A2B87"/>
    <w:rsid w:val="000A3D6F"/>
    <w:rsid w:val="000A4922"/>
    <w:rsid w:val="000A5EE6"/>
    <w:rsid w:val="000A6C9E"/>
    <w:rsid w:val="000A74B7"/>
    <w:rsid w:val="000B058F"/>
    <w:rsid w:val="000B2AA1"/>
    <w:rsid w:val="000B2D33"/>
    <w:rsid w:val="000B4467"/>
    <w:rsid w:val="000B4DB9"/>
    <w:rsid w:val="000B76C1"/>
    <w:rsid w:val="000C09AC"/>
    <w:rsid w:val="000C16D1"/>
    <w:rsid w:val="000C544F"/>
    <w:rsid w:val="000C58BE"/>
    <w:rsid w:val="000C71FB"/>
    <w:rsid w:val="000C767F"/>
    <w:rsid w:val="000C7865"/>
    <w:rsid w:val="000D32DD"/>
    <w:rsid w:val="000D3F5B"/>
    <w:rsid w:val="000D4CB8"/>
    <w:rsid w:val="000D5A44"/>
    <w:rsid w:val="000E03EF"/>
    <w:rsid w:val="000E3CD9"/>
    <w:rsid w:val="000E3ED2"/>
    <w:rsid w:val="000E4787"/>
    <w:rsid w:val="000E7214"/>
    <w:rsid w:val="000E7FEC"/>
    <w:rsid w:val="000F041E"/>
    <w:rsid w:val="000F2BD8"/>
    <w:rsid w:val="000F3566"/>
    <w:rsid w:val="000F3AF0"/>
    <w:rsid w:val="000F443B"/>
    <w:rsid w:val="000F7FDC"/>
    <w:rsid w:val="00101EEE"/>
    <w:rsid w:val="00102916"/>
    <w:rsid w:val="00105AA6"/>
    <w:rsid w:val="00106D53"/>
    <w:rsid w:val="001141A3"/>
    <w:rsid w:val="001146CB"/>
    <w:rsid w:val="00121D87"/>
    <w:rsid w:val="001248CA"/>
    <w:rsid w:val="00126C23"/>
    <w:rsid w:val="00127F80"/>
    <w:rsid w:val="00131F42"/>
    <w:rsid w:val="0013341F"/>
    <w:rsid w:val="001345BB"/>
    <w:rsid w:val="00134C0D"/>
    <w:rsid w:val="001357F1"/>
    <w:rsid w:val="001371FF"/>
    <w:rsid w:val="00137492"/>
    <w:rsid w:val="00137E11"/>
    <w:rsid w:val="00137E38"/>
    <w:rsid w:val="00140FA8"/>
    <w:rsid w:val="00142FEB"/>
    <w:rsid w:val="00143A2D"/>
    <w:rsid w:val="00145A41"/>
    <w:rsid w:val="00145EB0"/>
    <w:rsid w:val="00145EB5"/>
    <w:rsid w:val="0015073B"/>
    <w:rsid w:val="00151675"/>
    <w:rsid w:val="00151EA9"/>
    <w:rsid w:val="00153EE5"/>
    <w:rsid w:val="00154924"/>
    <w:rsid w:val="00154CB4"/>
    <w:rsid w:val="00154FC2"/>
    <w:rsid w:val="00155217"/>
    <w:rsid w:val="001571D5"/>
    <w:rsid w:val="00157435"/>
    <w:rsid w:val="00157AE1"/>
    <w:rsid w:val="00161FD7"/>
    <w:rsid w:val="00163984"/>
    <w:rsid w:val="001675FA"/>
    <w:rsid w:val="00172449"/>
    <w:rsid w:val="001731D9"/>
    <w:rsid w:val="0017504D"/>
    <w:rsid w:val="0017529D"/>
    <w:rsid w:val="0017671A"/>
    <w:rsid w:val="00177422"/>
    <w:rsid w:val="00177515"/>
    <w:rsid w:val="00181695"/>
    <w:rsid w:val="001839B3"/>
    <w:rsid w:val="00184590"/>
    <w:rsid w:val="00184BED"/>
    <w:rsid w:val="0018598D"/>
    <w:rsid w:val="001870D1"/>
    <w:rsid w:val="0018781E"/>
    <w:rsid w:val="00191559"/>
    <w:rsid w:val="0019262D"/>
    <w:rsid w:val="00192BA3"/>
    <w:rsid w:val="00192FE6"/>
    <w:rsid w:val="001945AB"/>
    <w:rsid w:val="00194A34"/>
    <w:rsid w:val="00195168"/>
    <w:rsid w:val="00195EA5"/>
    <w:rsid w:val="00195FD8"/>
    <w:rsid w:val="001A191F"/>
    <w:rsid w:val="001A1B35"/>
    <w:rsid w:val="001A4746"/>
    <w:rsid w:val="001A48A2"/>
    <w:rsid w:val="001A6F61"/>
    <w:rsid w:val="001B2E7F"/>
    <w:rsid w:val="001B3EC9"/>
    <w:rsid w:val="001B72B8"/>
    <w:rsid w:val="001C074D"/>
    <w:rsid w:val="001C124F"/>
    <w:rsid w:val="001C1461"/>
    <w:rsid w:val="001C1680"/>
    <w:rsid w:val="001C2BF1"/>
    <w:rsid w:val="001C5E5A"/>
    <w:rsid w:val="001C69B3"/>
    <w:rsid w:val="001D08DA"/>
    <w:rsid w:val="001D2772"/>
    <w:rsid w:val="001D2E97"/>
    <w:rsid w:val="001D5595"/>
    <w:rsid w:val="001D77F5"/>
    <w:rsid w:val="001D7874"/>
    <w:rsid w:val="001D7F22"/>
    <w:rsid w:val="001E0CD8"/>
    <w:rsid w:val="001E10E7"/>
    <w:rsid w:val="001E301D"/>
    <w:rsid w:val="001E38E1"/>
    <w:rsid w:val="001E77F0"/>
    <w:rsid w:val="001F0B30"/>
    <w:rsid w:val="001F0F17"/>
    <w:rsid w:val="001F175A"/>
    <w:rsid w:val="001F3347"/>
    <w:rsid w:val="001F356E"/>
    <w:rsid w:val="001F5869"/>
    <w:rsid w:val="001F69E4"/>
    <w:rsid w:val="002009AC"/>
    <w:rsid w:val="00201474"/>
    <w:rsid w:val="00202428"/>
    <w:rsid w:val="00205944"/>
    <w:rsid w:val="002125B4"/>
    <w:rsid w:val="00212A74"/>
    <w:rsid w:val="00212EC5"/>
    <w:rsid w:val="00212F49"/>
    <w:rsid w:val="002155B8"/>
    <w:rsid w:val="00215EE1"/>
    <w:rsid w:val="00222B93"/>
    <w:rsid w:val="00224839"/>
    <w:rsid w:val="002249B2"/>
    <w:rsid w:val="002255CA"/>
    <w:rsid w:val="00226574"/>
    <w:rsid w:val="002270A5"/>
    <w:rsid w:val="002278EC"/>
    <w:rsid w:val="0023280E"/>
    <w:rsid w:val="0023331C"/>
    <w:rsid w:val="00233E6F"/>
    <w:rsid w:val="002377D1"/>
    <w:rsid w:val="002405C4"/>
    <w:rsid w:val="00240F55"/>
    <w:rsid w:val="00241432"/>
    <w:rsid w:val="00242D27"/>
    <w:rsid w:val="0024480A"/>
    <w:rsid w:val="0024515C"/>
    <w:rsid w:val="00245BAE"/>
    <w:rsid w:val="002470CC"/>
    <w:rsid w:val="002506BC"/>
    <w:rsid w:val="00254345"/>
    <w:rsid w:val="00260D7A"/>
    <w:rsid w:val="002623FA"/>
    <w:rsid w:val="00264557"/>
    <w:rsid w:val="00264F08"/>
    <w:rsid w:val="0026572B"/>
    <w:rsid w:val="00267882"/>
    <w:rsid w:val="00270075"/>
    <w:rsid w:val="00270494"/>
    <w:rsid w:val="0027079E"/>
    <w:rsid w:val="0027494E"/>
    <w:rsid w:val="002761CC"/>
    <w:rsid w:val="00276983"/>
    <w:rsid w:val="00280486"/>
    <w:rsid w:val="002805AB"/>
    <w:rsid w:val="00282F07"/>
    <w:rsid w:val="00284204"/>
    <w:rsid w:val="002905F3"/>
    <w:rsid w:val="00291773"/>
    <w:rsid w:val="00291F64"/>
    <w:rsid w:val="00292300"/>
    <w:rsid w:val="00294925"/>
    <w:rsid w:val="00294DD2"/>
    <w:rsid w:val="0029559B"/>
    <w:rsid w:val="00296472"/>
    <w:rsid w:val="002965F7"/>
    <w:rsid w:val="00297FDC"/>
    <w:rsid w:val="002A168C"/>
    <w:rsid w:val="002A18DE"/>
    <w:rsid w:val="002A2FD8"/>
    <w:rsid w:val="002A3DC7"/>
    <w:rsid w:val="002A50A4"/>
    <w:rsid w:val="002A5DB2"/>
    <w:rsid w:val="002B15C3"/>
    <w:rsid w:val="002B49E2"/>
    <w:rsid w:val="002B6BE3"/>
    <w:rsid w:val="002B7B00"/>
    <w:rsid w:val="002B7C44"/>
    <w:rsid w:val="002B7DD0"/>
    <w:rsid w:val="002C1D82"/>
    <w:rsid w:val="002C2B17"/>
    <w:rsid w:val="002C35BD"/>
    <w:rsid w:val="002C3C07"/>
    <w:rsid w:val="002C4A22"/>
    <w:rsid w:val="002C4FDF"/>
    <w:rsid w:val="002C63F8"/>
    <w:rsid w:val="002C7970"/>
    <w:rsid w:val="002C7AE9"/>
    <w:rsid w:val="002D05B7"/>
    <w:rsid w:val="002D2140"/>
    <w:rsid w:val="002D2685"/>
    <w:rsid w:val="002D383D"/>
    <w:rsid w:val="002D385C"/>
    <w:rsid w:val="002D3DD0"/>
    <w:rsid w:val="002D5CAB"/>
    <w:rsid w:val="002D67C3"/>
    <w:rsid w:val="002E05FA"/>
    <w:rsid w:val="002E1F3A"/>
    <w:rsid w:val="002E20E3"/>
    <w:rsid w:val="002E298A"/>
    <w:rsid w:val="002E3C2B"/>
    <w:rsid w:val="002E52D3"/>
    <w:rsid w:val="002E625E"/>
    <w:rsid w:val="002E6862"/>
    <w:rsid w:val="002F09FC"/>
    <w:rsid w:val="002F108A"/>
    <w:rsid w:val="002F458C"/>
    <w:rsid w:val="002F68D5"/>
    <w:rsid w:val="002F73EA"/>
    <w:rsid w:val="00301978"/>
    <w:rsid w:val="003021AB"/>
    <w:rsid w:val="0030332C"/>
    <w:rsid w:val="003051C2"/>
    <w:rsid w:val="00311ECA"/>
    <w:rsid w:val="00312296"/>
    <w:rsid w:val="0031300A"/>
    <w:rsid w:val="00314599"/>
    <w:rsid w:val="00314AB7"/>
    <w:rsid w:val="00314F0E"/>
    <w:rsid w:val="00315B01"/>
    <w:rsid w:val="0032144B"/>
    <w:rsid w:val="00321D8E"/>
    <w:rsid w:val="00325928"/>
    <w:rsid w:val="00327529"/>
    <w:rsid w:val="00330BCB"/>
    <w:rsid w:val="00332863"/>
    <w:rsid w:val="00333898"/>
    <w:rsid w:val="00334DD7"/>
    <w:rsid w:val="0033684D"/>
    <w:rsid w:val="00336ADB"/>
    <w:rsid w:val="00336E38"/>
    <w:rsid w:val="0033783C"/>
    <w:rsid w:val="00337B42"/>
    <w:rsid w:val="00341B42"/>
    <w:rsid w:val="0034348F"/>
    <w:rsid w:val="00352882"/>
    <w:rsid w:val="00353065"/>
    <w:rsid w:val="0035617A"/>
    <w:rsid w:val="00356653"/>
    <w:rsid w:val="003573AE"/>
    <w:rsid w:val="0035743F"/>
    <w:rsid w:val="00357BE2"/>
    <w:rsid w:val="0036170C"/>
    <w:rsid w:val="003647C3"/>
    <w:rsid w:val="00366E0F"/>
    <w:rsid w:val="00371DDD"/>
    <w:rsid w:val="00372EC4"/>
    <w:rsid w:val="00374A8E"/>
    <w:rsid w:val="00381A72"/>
    <w:rsid w:val="00383583"/>
    <w:rsid w:val="00384676"/>
    <w:rsid w:val="0038696C"/>
    <w:rsid w:val="003869C8"/>
    <w:rsid w:val="003876BC"/>
    <w:rsid w:val="00390857"/>
    <w:rsid w:val="00391DB5"/>
    <w:rsid w:val="00394E33"/>
    <w:rsid w:val="00397E2D"/>
    <w:rsid w:val="003A2C98"/>
    <w:rsid w:val="003A4887"/>
    <w:rsid w:val="003A4BF3"/>
    <w:rsid w:val="003A6C29"/>
    <w:rsid w:val="003B420D"/>
    <w:rsid w:val="003B5D1C"/>
    <w:rsid w:val="003B691A"/>
    <w:rsid w:val="003C08C4"/>
    <w:rsid w:val="003C1DF8"/>
    <w:rsid w:val="003C4882"/>
    <w:rsid w:val="003C5110"/>
    <w:rsid w:val="003C6C16"/>
    <w:rsid w:val="003C7644"/>
    <w:rsid w:val="003D0D5C"/>
    <w:rsid w:val="003D1206"/>
    <w:rsid w:val="003D268B"/>
    <w:rsid w:val="003D45BA"/>
    <w:rsid w:val="003D794D"/>
    <w:rsid w:val="003D7C3F"/>
    <w:rsid w:val="003D7F32"/>
    <w:rsid w:val="003E3058"/>
    <w:rsid w:val="003E3204"/>
    <w:rsid w:val="003E4FA5"/>
    <w:rsid w:val="003E674F"/>
    <w:rsid w:val="003E6D73"/>
    <w:rsid w:val="003E76A9"/>
    <w:rsid w:val="003E7B62"/>
    <w:rsid w:val="003F0809"/>
    <w:rsid w:val="003F2ACC"/>
    <w:rsid w:val="003F4064"/>
    <w:rsid w:val="003F49AA"/>
    <w:rsid w:val="003F6A8C"/>
    <w:rsid w:val="003F755C"/>
    <w:rsid w:val="00400039"/>
    <w:rsid w:val="00402390"/>
    <w:rsid w:val="00403C52"/>
    <w:rsid w:val="00406F01"/>
    <w:rsid w:val="004079DA"/>
    <w:rsid w:val="00407B2A"/>
    <w:rsid w:val="004102F4"/>
    <w:rsid w:val="00415770"/>
    <w:rsid w:val="0041590E"/>
    <w:rsid w:val="00416A35"/>
    <w:rsid w:val="00416D50"/>
    <w:rsid w:val="00416FD5"/>
    <w:rsid w:val="004172DD"/>
    <w:rsid w:val="00417772"/>
    <w:rsid w:val="004209D7"/>
    <w:rsid w:val="00420E6A"/>
    <w:rsid w:val="00425784"/>
    <w:rsid w:val="00425989"/>
    <w:rsid w:val="00425A9E"/>
    <w:rsid w:val="00425EF9"/>
    <w:rsid w:val="004261E2"/>
    <w:rsid w:val="00426D6B"/>
    <w:rsid w:val="00431E6C"/>
    <w:rsid w:val="0043322A"/>
    <w:rsid w:val="00433CE7"/>
    <w:rsid w:val="004340C1"/>
    <w:rsid w:val="004358EF"/>
    <w:rsid w:val="00436613"/>
    <w:rsid w:val="00443561"/>
    <w:rsid w:val="004474B7"/>
    <w:rsid w:val="00447A82"/>
    <w:rsid w:val="00452738"/>
    <w:rsid w:val="004539C4"/>
    <w:rsid w:val="00454EEB"/>
    <w:rsid w:val="00456091"/>
    <w:rsid w:val="00462452"/>
    <w:rsid w:val="00462D2E"/>
    <w:rsid w:val="00466321"/>
    <w:rsid w:val="004673C6"/>
    <w:rsid w:val="004743F8"/>
    <w:rsid w:val="00477FAF"/>
    <w:rsid w:val="00483780"/>
    <w:rsid w:val="00484B9B"/>
    <w:rsid w:val="004855F6"/>
    <w:rsid w:val="0048661E"/>
    <w:rsid w:val="00486967"/>
    <w:rsid w:val="00486A2D"/>
    <w:rsid w:val="00486FBA"/>
    <w:rsid w:val="00487773"/>
    <w:rsid w:val="004904C9"/>
    <w:rsid w:val="00491910"/>
    <w:rsid w:val="00491DF8"/>
    <w:rsid w:val="00494529"/>
    <w:rsid w:val="00494670"/>
    <w:rsid w:val="00494888"/>
    <w:rsid w:val="004A01EF"/>
    <w:rsid w:val="004A152C"/>
    <w:rsid w:val="004A201F"/>
    <w:rsid w:val="004A206A"/>
    <w:rsid w:val="004A3823"/>
    <w:rsid w:val="004A3A8C"/>
    <w:rsid w:val="004A4948"/>
    <w:rsid w:val="004A4AC2"/>
    <w:rsid w:val="004A4E77"/>
    <w:rsid w:val="004A6522"/>
    <w:rsid w:val="004B1A8F"/>
    <w:rsid w:val="004B21C2"/>
    <w:rsid w:val="004B2951"/>
    <w:rsid w:val="004B623C"/>
    <w:rsid w:val="004B6776"/>
    <w:rsid w:val="004B6C81"/>
    <w:rsid w:val="004B7445"/>
    <w:rsid w:val="004C1DED"/>
    <w:rsid w:val="004C20FA"/>
    <w:rsid w:val="004C29E3"/>
    <w:rsid w:val="004C61CB"/>
    <w:rsid w:val="004D1AAC"/>
    <w:rsid w:val="004D4039"/>
    <w:rsid w:val="004D4D9C"/>
    <w:rsid w:val="004D7AEA"/>
    <w:rsid w:val="004E2002"/>
    <w:rsid w:val="004E2ACD"/>
    <w:rsid w:val="004E2AD4"/>
    <w:rsid w:val="004E3982"/>
    <w:rsid w:val="004E4562"/>
    <w:rsid w:val="004E5186"/>
    <w:rsid w:val="004E57F2"/>
    <w:rsid w:val="004E6946"/>
    <w:rsid w:val="004F16A5"/>
    <w:rsid w:val="004F1AD8"/>
    <w:rsid w:val="004F1D3D"/>
    <w:rsid w:val="004F2586"/>
    <w:rsid w:val="004F5FD1"/>
    <w:rsid w:val="004F6B37"/>
    <w:rsid w:val="004F7334"/>
    <w:rsid w:val="005039CB"/>
    <w:rsid w:val="0050558F"/>
    <w:rsid w:val="00506286"/>
    <w:rsid w:val="00510813"/>
    <w:rsid w:val="00511990"/>
    <w:rsid w:val="00511DE0"/>
    <w:rsid w:val="00512783"/>
    <w:rsid w:val="00514613"/>
    <w:rsid w:val="00514870"/>
    <w:rsid w:val="00514B9B"/>
    <w:rsid w:val="005152D0"/>
    <w:rsid w:val="00517F02"/>
    <w:rsid w:val="0052104B"/>
    <w:rsid w:val="00521DD2"/>
    <w:rsid w:val="00521EE7"/>
    <w:rsid w:val="00524303"/>
    <w:rsid w:val="005246D0"/>
    <w:rsid w:val="005251D3"/>
    <w:rsid w:val="005258A2"/>
    <w:rsid w:val="005274C5"/>
    <w:rsid w:val="005308AD"/>
    <w:rsid w:val="00530B73"/>
    <w:rsid w:val="00536F3B"/>
    <w:rsid w:val="00537107"/>
    <w:rsid w:val="005401AE"/>
    <w:rsid w:val="005429D1"/>
    <w:rsid w:val="00542E07"/>
    <w:rsid w:val="00542EB8"/>
    <w:rsid w:val="00544144"/>
    <w:rsid w:val="005447B5"/>
    <w:rsid w:val="00545381"/>
    <w:rsid w:val="00545424"/>
    <w:rsid w:val="005532FB"/>
    <w:rsid w:val="005533D5"/>
    <w:rsid w:val="005538BC"/>
    <w:rsid w:val="00554A7B"/>
    <w:rsid w:val="0055572C"/>
    <w:rsid w:val="00555A57"/>
    <w:rsid w:val="0056106A"/>
    <w:rsid w:val="005632EB"/>
    <w:rsid w:val="0056352E"/>
    <w:rsid w:val="00564288"/>
    <w:rsid w:val="00565070"/>
    <w:rsid w:val="00566C5A"/>
    <w:rsid w:val="00571A6D"/>
    <w:rsid w:val="005720AE"/>
    <w:rsid w:val="005756E8"/>
    <w:rsid w:val="00577DB3"/>
    <w:rsid w:val="00582040"/>
    <w:rsid w:val="005861AD"/>
    <w:rsid w:val="0058684C"/>
    <w:rsid w:val="0058754B"/>
    <w:rsid w:val="00587AE4"/>
    <w:rsid w:val="0059053D"/>
    <w:rsid w:val="0059117E"/>
    <w:rsid w:val="0059351B"/>
    <w:rsid w:val="00593C47"/>
    <w:rsid w:val="005945C4"/>
    <w:rsid w:val="00594D77"/>
    <w:rsid w:val="005969E4"/>
    <w:rsid w:val="005A06B7"/>
    <w:rsid w:val="005A09B3"/>
    <w:rsid w:val="005A1759"/>
    <w:rsid w:val="005A2255"/>
    <w:rsid w:val="005A2E4F"/>
    <w:rsid w:val="005A68A7"/>
    <w:rsid w:val="005B2E8E"/>
    <w:rsid w:val="005C0257"/>
    <w:rsid w:val="005C22C1"/>
    <w:rsid w:val="005C2545"/>
    <w:rsid w:val="005C5FE1"/>
    <w:rsid w:val="005C7C36"/>
    <w:rsid w:val="005D000B"/>
    <w:rsid w:val="005D1738"/>
    <w:rsid w:val="005D36AB"/>
    <w:rsid w:val="005D5D5A"/>
    <w:rsid w:val="005D5EB3"/>
    <w:rsid w:val="005D6EC9"/>
    <w:rsid w:val="005E060B"/>
    <w:rsid w:val="005E15A8"/>
    <w:rsid w:val="005E3CBC"/>
    <w:rsid w:val="005E6164"/>
    <w:rsid w:val="005F1131"/>
    <w:rsid w:val="005F1465"/>
    <w:rsid w:val="005F26A7"/>
    <w:rsid w:val="005F2A46"/>
    <w:rsid w:val="005F2F20"/>
    <w:rsid w:val="005F3D0E"/>
    <w:rsid w:val="00600CBE"/>
    <w:rsid w:val="0060267D"/>
    <w:rsid w:val="006043CE"/>
    <w:rsid w:val="00607139"/>
    <w:rsid w:val="00610465"/>
    <w:rsid w:val="006120CE"/>
    <w:rsid w:val="00613594"/>
    <w:rsid w:val="00616067"/>
    <w:rsid w:val="006173A5"/>
    <w:rsid w:val="00617CC3"/>
    <w:rsid w:val="00621BDE"/>
    <w:rsid w:val="00623C08"/>
    <w:rsid w:val="006242E0"/>
    <w:rsid w:val="006248E2"/>
    <w:rsid w:val="00625A76"/>
    <w:rsid w:val="006274D2"/>
    <w:rsid w:val="00627936"/>
    <w:rsid w:val="00637334"/>
    <w:rsid w:val="006377A6"/>
    <w:rsid w:val="00637A0D"/>
    <w:rsid w:val="00637A3D"/>
    <w:rsid w:val="006411EF"/>
    <w:rsid w:val="00644789"/>
    <w:rsid w:val="00646298"/>
    <w:rsid w:val="00652810"/>
    <w:rsid w:val="0065284D"/>
    <w:rsid w:val="00653701"/>
    <w:rsid w:val="00655A89"/>
    <w:rsid w:val="00655EE2"/>
    <w:rsid w:val="006607D3"/>
    <w:rsid w:val="006670C9"/>
    <w:rsid w:val="00667F7A"/>
    <w:rsid w:val="00673C43"/>
    <w:rsid w:val="006748B8"/>
    <w:rsid w:val="006756BB"/>
    <w:rsid w:val="00675CCC"/>
    <w:rsid w:val="00676DA0"/>
    <w:rsid w:val="006775C3"/>
    <w:rsid w:val="00677714"/>
    <w:rsid w:val="0068134D"/>
    <w:rsid w:val="0068295D"/>
    <w:rsid w:val="0068337A"/>
    <w:rsid w:val="0068703A"/>
    <w:rsid w:val="006874DC"/>
    <w:rsid w:val="00690616"/>
    <w:rsid w:val="00690893"/>
    <w:rsid w:val="00691B45"/>
    <w:rsid w:val="0069290A"/>
    <w:rsid w:val="00692BAA"/>
    <w:rsid w:val="00695CF2"/>
    <w:rsid w:val="00697317"/>
    <w:rsid w:val="0069775A"/>
    <w:rsid w:val="00697813"/>
    <w:rsid w:val="006A0254"/>
    <w:rsid w:val="006A3EE8"/>
    <w:rsid w:val="006A4D52"/>
    <w:rsid w:val="006A6196"/>
    <w:rsid w:val="006A6E1D"/>
    <w:rsid w:val="006A72BF"/>
    <w:rsid w:val="006B03F2"/>
    <w:rsid w:val="006B0EE0"/>
    <w:rsid w:val="006B2915"/>
    <w:rsid w:val="006B37DC"/>
    <w:rsid w:val="006B3805"/>
    <w:rsid w:val="006B4F68"/>
    <w:rsid w:val="006B5D58"/>
    <w:rsid w:val="006C04DF"/>
    <w:rsid w:val="006C0592"/>
    <w:rsid w:val="006C1C1F"/>
    <w:rsid w:val="006C272E"/>
    <w:rsid w:val="006C2EE4"/>
    <w:rsid w:val="006C5479"/>
    <w:rsid w:val="006C5733"/>
    <w:rsid w:val="006C5C94"/>
    <w:rsid w:val="006C7082"/>
    <w:rsid w:val="006C7B1D"/>
    <w:rsid w:val="006D13B5"/>
    <w:rsid w:val="006D34CD"/>
    <w:rsid w:val="006D4412"/>
    <w:rsid w:val="006D463F"/>
    <w:rsid w:val="006D4CB7"/>
    <w:rsid w:val="006D5468"/>
    <w:rsid w:val="006E0354"/>
    <w:rsid w:val="006E12FF"/>
    <w:rsid w:val="006E607E"/>
    <w:rsid w:val="006E7F6B"/>
    <w:rsid w:val="006F0339"/>
    <w:rsid w:val="006F0A1E"/>
    <w:rsid w:val="006F13DC"/>
    <w:rsid w:val="006F1E7C"/>
    <w:rsid w:val="006F3E67"/>
    <w:rsid w:val="006F48D2"/>
    <w:rsid w:val="006F5007"/>
    <w:rsid w:val="006F63C3"/>
    <w:rsid w:val="006F7261"/>
    <w:rsid w:val="00701C41"/>
    <w:rsid w:val="00705188"/>
    <w:rsid w:val="00705382"/>
    <w:rsid w:val="007068C8"/>
    <w:rsid w:val="00706C5D"/>
    <w:rsid w:val="00707858"/>
    <w:rsid w:val="00711D18"/>
    <w:rsid w:val="0071391B"/>
    <w:rsid w:val="00714899"/>
    <w:rsid w:val="007171ED"/>
    <w:rsid w:val="00717C54"/>
    <w:rsid w:val="00721D21"/>
    <w:rsid w:val="0072257F"/>
    <w:rsid w:val="00723044"/>
    <w:rsid w:val="00731BB8"/>
    <w:rsid w:val="00732922"/>
    <w:rsid w:val="00732FEC"/>
    <w:rsid w:val="00735AB0"/>
    <w:rsid w:val="00736ABD"/>
    <w:rsid w:val="007377E8"/>
    <w:rsid w:val="007378E2"/>
    <w:rsid w:val="00737FBD"/>
    <w:rsid w:val="0074017D"/>
    <w:rsid w:val="0074092D"/>
    <w:rsid w:val="00741032"/>
    <w:rsid w:val="00745CA1"/>
    <w:rsid w:val="0074722B"/>
    <w:rsid w:val="0075162E"/>
    <w:rsid w:val="00751BAE"/>
    <w:rsid w:val="007537DB"/>
    <w:rsid w:val="00753C2A"/>
    <w:rsid w:val="00754034"/>
    <w:rsid w:val="00756544"/>
    <w:rsid w:val="00756556"/>
    <w:rsid w:val="007618C4"/>
    <w:rsid w:val="007621F5"/>
    <w:rsid w:val="00762FEE"/>
    <w:rsid w:val="00763C29"/>
    <w:rsid w:val="00767980"/>
    <w:rsid w:val="00770B19"/>
    <w:rsid w:val="00772212"/>
    <w:rsid w:val="007737D9"/>
    <w:rsid w:val="0077463F"/>
    <w:rsid w:val="00774C6D"/>
    <w:rsid w:val="00775D8F"/>
    <w:rsid w:val="00776FD9"/>
    <w:rsid w:val="007773DB"/>
    <w:rsid w:val="00781FAE"/>
    <w:rsid w:val="0078204D"/>
    <w:rsid w:val="007822AD"/>
    <w:rsid w:val="007836EA"/>
    <w:rsid w:val="00784CDA"/>
    <w:rsid w:val="00786A72"/>
    <w:rsid w:val="0078725E"/>
    <w:rsid w:val="007906C4"/>
    <w:rsid w:val="00790F61"/>
    <w:rsid w:val="0079375E"/>
    <w:rsid w:val="007940EA"/>
    <w:rsid w:val="00794D62"/>
    <w:rsid w:val="0079531A"/>
    <w:rsid w:val="007965B7"/>
    <w:rsid w:val="0079675B"/>
    <w:rsid w:val="007967E8"/>
    <w:rsid w:val="007A1665"/>
    <w:rsid w:val="007A2170"/>
    <w:rsid w:val="007A22BF"/>
    <w:rsid w:val="007A3323"/>
    <w:rsid w:val="007A3C76"/>
    <w:rsid w:val="007B07C8"/>
    <w:rsid w:val="007B0EBD"/>
    <w:rsid w:val="007B13B7"/>
    <w:rsid w:val="007B4125"/>
    <w:rsid w:val="007B43E8"/>
    <w:rsid w:val="007B4A79"/>
    <w:rsid w:val="007B72B8"/>
    <w:rsid w:val="007B798B"/>
    <w:rsid w:val="007B7A58"/>
    <w:rsid w:val="007C087F"/>
    <w:rsid w:val="007C0ACE"/>
    <w:rsid w:val="007C20CC"/>
    <w:rsid w:val="007C20E8"/>
    <w:rsid w:val="007C21B5"/>
    <w:rsid w:val="007D0E0D"/>
    <w:rsid w:val="007D3CCE"/>
    <w:rsid w:val="007D5F0C"/>
    <w:rsid w:val="007D6991"/>
    <w:rsid w:val="007D6BC3"/>
    <w:rsid w:val="007D7B06"/>
    <w:rsid w:val="007E04B7"/>
    <w:rsid w:val="007E3BEE"/>
    <w:rsid w:val="007E3CC2"/>
    <w:rsid w:val="007E4BD2"/>
    <w:rsid w:val="007E61C4"/>
    <w:rsid w:val="007E622E"/>
    <w:rsid w:val="007F0EC4"/>
    <w:rsid w:val="007F1045"/>
    <w:rsid w:val="007F11EF"/>
    <w:rsid w:val="007F1724"/>
    <w:rsid w:val="007F563F"/>
    <w:rsid w:val="007F6ABF"/>
    <w:rsid w:val="00801393"/>
    <w:rsid w:val="00802F88"/>
    <w:rsid w:val="00811B3D"/>
    <w:rsid w:val="0081293E"/>
    <w:rsid w:val="0081447D"/>
    <w:rsid w:val="00815465"/>
    <w:rsid w:val="0081744A"/>
    <w:rsid w:val="008179E9"/>
    <w:rsid w:val="00817E9A"/>
    <w:rsid w:val="00821F91"/>
    <w:rsid w:val="00822EC2"/>
    <w:rsid w:val="008241EF"/>
    <w:rsid w:val="00824208"/>
    <w:rsid w:val="00825DD1"/>
    <w:rsid w:val="00826A6C"/>
    <w:rsid w:val="00826B11"/>
    <w:rsid w:val="00830049"/>
    <w:rsid w:val="008306BD"/>
    <w:rsid w:val="00830FFD"/>
    <w:rsid w:val="00831A80"/>
    <w:rsid w:val="00833743"/>
    <w:rsid w:val="008340A4"/>
    <w:rsid w:val="008345EB"/>
    <w:rsid w:val="00834981"/>
    <w:rsid w:val="00837A04"/>
    <w:rsid w:val="00841C27"/>
    <w:rsid w:val="00842697"/>
    <w:rsid w:val="00842DDC"/>
    <w:rsid w:val="00844399"/>
    <w:rsid w:val="00845AEF"/>
    <w:rsid w:val="008501C3"/>
    <w:rsid w:val="00850C05"/>
    <w:rsid w:val="00852303"/>
    <w:rsid w:val="0085760F"/>
    <w:rsid w:val="00857F11"/>
    <w:rsid w:val="00863EED"/>
    <w:rsid w:val="008662BC"/>
    <w:rsid w:val="00866804"/>
    <w:rsid w:val="00866A54"/>
    <w:rsid w:val="00866EAC"/>
    <w:rsid w:val="00867D45"/>
    <w:rsid w:val="0087135F"/>
    <w:rsid w:val="00872510"/>
    <w:rsid w:val="00872BF0"/>
    <w:rsid w:val="00872D94"/>
    <w:rsid w:val="00872DA5"/>
    <w:rsid w:val="00872FBC"/>
    <w:rsid w:val="0087353B"/>
    <w:rsid w:val="0087380A"/>
    <w:rsid w:val="008741F9"/>
    <w:rsid w:val="0087525A"/>
    <w:rsid w:val="008771DA"/>
    <w:rsid w:val="0087739E"/>
    <w:rsid w:val="008774C1"/>
    <w:rsid w:val="00877C17"/>
    <w:rsid w:val="00877C34"/>
    <w:rsid w:val="00877ED7"/>
    <w:rsid w:val="00880364"/>
    <w:rsid w:val="00881CD4"/>
    <w:rsid w:val="00883DA5"/>
    <w:rsid w:val="0088620D"/>
    <w:rsid w:val="00886DE2"/>
    <w:rsid w:val="00891592"/>
    <w:rsid w:val="00891E9E"/>
    <w:rsid w:val="008925EC"/>
    <w:rsid w:val="00892F52"/>
    <w:rsid w:val="008959A3"/>
    <w:rsid w:val="008A2F68"/>
    <w:rsid w:val="008A49DE"/>
    <w:rsid w:val="008A4B2F"/>
    <w:rsid w:val="008A5D79"/>
    <w:rsid w:val="008A675C"/>
    <w:rsid w:val="008B343E"/>
    <w:rsid w:val="008B4FA6"/>
    <w:rsid w:val="008B5282"/>
    <w:rsid w:val="008B57B9"/>
    <w:rsid w:val="008B6423"/>
    <w:rsid w:val="008B7C17"/>
    <w:rsid w:val="008C05A4"/>
    <w:rsid w:val="008C182A"/>
    <w:rsid w:val="008C2D01"/>
    <w:rsid w:val="008C3016"/>
    <w:rsid w:val="008C40E6"/>
    <w:rsid w:val="008C5723"/>
    <w:rsid w:val="008C7CCE"/>
    <w:rsid w:val="008C7FD1"/>
    <w:rsid w:val="008D0F7A"/>
    <w:rsid w:val="008D44E6"/>
    <w:rsid w:val="008D4CD6"/>
    <w:rsid w:val="008D6665"/>
    <w:rsid w:val="008D68E4"/>
    <w:rsid w:val="008D6A0D"/>
    <w:rsid w:val="008E0506"/>
    <w:rsid w:val="008E08E8"/>
    <w:rsid w:val="008E0CFF"/>
    <w:rsid w:val="008E2065"/>
    <w:rsid w:val="008E264A"/>
    <w:rsid w:val="008E5D6B"/>
    <w:rsid w:val="008E72F6"/>
    <w:rsid w:val="008E76F0"/>
    <w:rsid w:val="008E7BBC"/>
    <w:rsid w:val="008F0969"/>
    <w:rsid w:val="008F15FE"/>
    <w:rsid w:val="008F240A"/>
    <w:rsid w:val="008F29B3"/>
    <w:rsid w:val="008F2D29"/>
    <w:rsid w:val="008F4348"/>
    <w:rsid w:val="008F5187"/>
    <w:rsid w:val="008F60D8"/>
    <w:rsid w:val="008F6148"/>
    <w:rsid w:val="00900022"/>
    <w:rsid w:val="0090073D"/>
    <w:rsid w:val="00900F12"/>
    <w:rsid w:val="009019AD"/>
    <w:rsid w:val="00902727"/>
    <w:rsid w:val="0090312B"/>
    <w:rsid w:val="00904E03"/>
    <w:rsid w:val="009056E9"/>
    <w:rsid w:val="00907C86"/>
    <w:rsid w:val="00911EBB"/>
    <w:rsid w:val="00913978"/>
    <w:rsid w:val="009145D2"/>
    <w:rsid w:val="0091736D"/>
    <w:rsid w:val="00921232"/>
    <w:rsid w:val="009214B3"/>
    <w:rsid w:val="00923C65"/>
    <w:rsid w:val="00924142"/>
    <w:rsid w:val="009271C7"/>
    <w:rsid w:val="0093035A"/>
    <w:rsid w:val="0093037A"/>
    <w:rsid w:val="00932187"/>
    <w:rsid w:val="009331F7"/>
    <w:rsid w:val="00934EC0"/>
    <w:rsid w:val="0093517C"/>
    <w:rsid w:val="00936270"/>
    <w:rsid w:val="009371E8"/>
    <w:rsid w:val="0093733E"/>
    <w:rsid w:val="009401A1"/>
    <w:rsid w:val="0094154D"/>
    <w:rsid w:val="00941D05"/>
    <w:rsid w:val="009428CD"/>
    <w:rsid w:val="00942E0B"/>
    <w:rsid w:val="00943D9C"/>
    <w:rsid w:val="009475B5"/>
    <w:rsid w:val="0095111B"/>
    <w:rsid w:val="0095155F"/>
    <w:rsid w:val="00953DDD"/>
    <w:rsid w:val="00954429"/>
    <w:rsid w:val="00954779"/>
    <w:rsid w:val="00954BF7"/>
    <w:rsid w:val="009563CE"/>
    <w:rsid w:val="00956DB4"/>
    <w:rsid w:val="00957198"/>
    <w:rsid w:val="0095720B"/>
    <w:rsid w:val="00964687"/>
    <w:rsid w:val="00964BE3"/>
    <w:rsid w:val="00964E88"/>
    <w:rsid w:val="00965E54"/>
    <w:rsid w:val="009671FD"/>
    <w:rsid w:val="00967C8F"/>
    <w:rsid w:val="00967CD4"/>
    <w:rsid w:val="00967DA0"/>
    <w:rsid w:val="00970CFB"/>
    <w:rsid w:val="00971518"/>
    <w:rsid w:val="00971F18"/>
    <w:rsid w:val="009726AD"/>
    <w:rsid w:val="0097392F"/>
    <w:rsid w:val="00976328"/>
    <w:rsid w:val="00976672"/>
    <w:rsid w:val="0097680D"/>
    <w:rsid w:val="00980C82"/>
    <w:rsid w:val="00982438"/>
    <w:rsid w:val="00982CA7"/>
    <w:rsid w:val="009837E2"/>
    <w:rsid w:val="0098387A"/>
    <w:rsid w:val="0098404C"/>
    <w:rsid w:val="009845F5"/>
    <w:rsid w:val="00985283"/>
    <w:rsid w:val="00986236"/>
    <w:rsid w:val="00987CCD"/>
    <w:rsid w:val="00992019"/>
    <w:rsid w:val="00993829"/>
    <w:rsid w:val="00993F3B"/>
    <w:rsid w:val="009955B4"/>
    <w:rsid w:val="009958FE"/>
    <w:rsid w:val="00995992"/>
    <w:rsid w:val="00996ADB"/>
    <w:rsid w:val="009A03E5"/>
    <w:rsid w:val="009A0F3B"/>
    <w:rsid w:val="009A1BB4"/>
    <w:rsid w:val="009A2628"/>
    <w:rsid w:val="009A2A35"/>
    <w:rsid w:val="009A3200"/>
    <w:rsid w:val="009A5CDA"/>
    <w:rsid w:val="009A60F2"/>
    <w:rsid w:val="009B02AB"/>
    <w:rsid w:val="009B0897"/>
    <w:rsid w:val="009B0D51"/>
    <w:rsid w:val="009B1719"/>
    <w:rsid w:val="009B4B9A"/>
    <w:rsid w:val="009B4CE4"/>
    <w:rsid w:val="009B50CC"/>
    <w:rsid w:val="009B7BD9"/>
    <w:rsid w:val="009C5009"/>
    <w:rsid w:val="009C59E0"/>
    <w:rsid w:val="009C659B"/>
    <w:rsid w:val="009C6FA3"/>
    <w:rsid w:val="009C7DD5"/>
    <w:rsid w:val="009D2C30"/>
    <w:rsid w:val="009D330C"/>
    <w:rsid w:val="009D5401"/>
    <w:rsid w:val="009E1B30"/>
    <w:rsid w:val="009E227D"/>
    <w:rsid w:val="009E5019"/>
    <w:rsid w:val="009E63DF"/>
    <w:rsid w:val="009F097B"/>
    <w:rsid w:val="009F20FE"/>
    <w:rsid w:val="009F438D"/>
    <w:rsid w:val="009F44E9"/>
    <w:rsid w:val="009F778A"/>
    <w:rsid w:val="00A03377"/>
    <w:rsid w:val="00A03379"/>
    <w:rsid w:val="00A03968"/>
    <w:rsid w:val="00A04F1B"/>
    <w:rsid w:val="00A0501B"/>
    <w:rsid w:val="00A114ED"/>
    <w:rsid w:val="00A11532"/>
    <w:rsid w:val="00A1199C"/>
    <w:rsid w:val="00A121C4"/>
    <w:rsid w:val="00A1248B"/>
    <w:rsid w:val="00A13C0E"/>
    <w:rsid w:val="00A14947"/>
    <w:rsid w:val="00A16E9D"/>
    <w:rsid w:val="00A179D8"/>
    <w:rsid w:val="00A204B3"/>
    <w:rsid w:val="00A20680"/>
    <w:rsid w:val="00A24AE5"/>
    <w:rsid w:val="00A2610C"/>
    <w:rsid w:val="00A31297"/>
    <w:rsid w:val="00A32A83"/>
    <w:rsid w:val="00A368DB"/>
    <w:rsid w:val="00A423AA"/>
    <w:rsid w:val="00A43A7B"/>
    <w:rsid w:val="00A463C8"/>
    <w:rsid w:val="00A47109"/>
    <w:rsid w:val="00A53EC6"/>
    <w:rsid w:val="00A54317"/>
    <w:rsid w:val="00A54E9E"/>
    <w:rsid w:val="00A557C3"/>
    <w:rsid w:val="00A55C0F"/>
    <w:rsid w:val="00A60430"/>
    <w:rsid w:val="00A6177E"/>
    <w:rsid w:val="00A618E1"/>
    <w:rsid w:val="00A62027"/>
    <w:rsid w:val="00A62AFA"/>
    <w:rsid w:val="00A64484"/>
    <w:rsid w:val="00A7337C"/>
    <w:rsid w:val="00A748D9"/>
    <w:rsid w:val="00A752FA"/>
    <w:rsid w:val="00A7777D"/>
    <w:rsid w:val="00A81445"/>
    <w:rsid w:val="00A83618"/>
    <w:rsid w:val="00A853C1"/>
    <w:rsid w:val="00A855EF"/>
    <w:rsid w:val="00A8713F"/>
    <w:rsid w:val="00A87450"/>
    <w:rsid w:val="00A90BA1"/>
    <w:rsid w:val="00A92560"/>
    <w:rsid w:val="00A92FCB"/>
    <w:rsid w:val="00A96F84"/>
    <w:rsid w:val="00A97A9A"/>
    <w:rsid w:val="00AA0671"/>
    <w:rsid w:val="00AA1847"/>
    <w:rsid w:val="00AA2531"/>
    <w:rsid w:val="00AB07DF"/>
    <w:rsid w:val="00AB1E09"/>
    <w:rsid w:val="00AB2938"/>
    <w:rsid w:val="00AB5330"/>
    <w:rsid w:val="00AB7747"/>
    <w:rsid w:val="00AC0C7D"/>
    <w:rsid w:val="00AC14CE"/>
    <w:rsid w:val="00AC2A56"/>
    <w:rsid w:val="00AC36FB"/>
    <w:rsid w:val="00AC44CB"/>
    <w:rsid w:val="00AC55D1"/>
    <w:rsid w:val="00AC7481"/>
    <w:rsid w:val="00AD0310"/>
    <w:rsid w:val="00AD055E"/>
    <w:rsid w:val="00AD3A6D"/>
    <w:rsid w:val="00AD3E21"/>
    <w:rsid w:val="00AD4031"/>
    <w:rsid w:val="00AD47A7"/>
    <w:rsid w:val="00AD720A"/>
    <w:rsid w:val="00AD7326"/>
    <w:rsid w:val="00AD7BAB"/>
    <w:rsid w:val="00AD7C1F"/>
    <w:rsid w:val="00AE223D"/>
    <w:rsid w:val="00AE3373"/>
    <w:rsid w:val="00AE4285"/>
    <w:rsid w:val="00AF0CBF"/>
    <w:rsid w:val="00AF1C9F"/>
    <w:rsid w:val="00AF257F"/>
    <w:rsid w:val="00AF33CF"/>
    <w:rsid w:val="00AF4D50"/>
    <w:rsid w:val="00AF6179"/>
    <w:rsid w:val="00B033BE"/>
    <w:rsid w:val="00B04782"/>
    <w:rsid w:val="00B054B1"/>
    <w:rsid w:val="00B0656F"/>
    <w:rsid w:val="00B10069"/>
    <w:rsid w:val="00B10DE8"/>
    <w:rsid w:val="00B1295A"/>
    <w:rsid w:val="00B153F9"/>
    <w:rsid w:val="00B179FC"/>
    <w:rsid w:val="00B20A45"/>
    <w:rsid w:val="00B22C5C"/>
    <w:rsid w:val="00B24F30"/>
    <w:rsid w:val="00B25A13"/>
    <w:rsid w:val="00B2709D"/>
    <w:rsid w:val="00B304C2"/>
    <w:rsid w:val="00B31ABF"/>
    <w:rsid w:val="00B31BE7"/>
    <w:rsid w:val="00B32369"/>
    <w:rsid w:val="00B3246B"/>
    <w:rsid w:val="00B32525"/>
    <w:rsid w:val="00B334F8"/>
    <w:rsid w:val="00B33BE3"/>
    <w:rsid w:val="00B3745D"/>
    <w:rsid w:val="00B4109F"/>
    <w:rsid w:val="00B41403"/>
    <w:rsid w:val="00B42B63"/>
    <w:rsid w:val="00B45CEB"/>
    <w:rsid w:val="00B45DF4"/>
    <w:rsid w:val="00B47DDC"/>
    <w:rsid w:val="00B51986"/>
    <w:rsid w:val="00B52E48"/>
    <w:rsid w:val="00B52F1B"/>
    <w:rsid w:val="00B53B5D"/>
    <w:rsid w:val="00B563BD"/>
    <w:rsid w:val="00B57D71"/>
    <w:rsid w:val="00B6055E"/>
    <w:rsid w:val="00B6317D"/>
    <w:rsid w:val="00B632A4"/>
    <w:rsid w:val="00B6629C"/>
    <w:rsid w:val="00B73367"/>
    <w:rsid w:val="00B7723F"/>
    <w:rsid w:val="00B77D44"/>
    <w:rsid w:val="00B804F3"/>
    <w:rsid w:val="00B80534"/>
    <w:rsid w:val="00B80E6C"/>
    <w:rsid w:val="00B81C79"/>
    <w:rsid w:val="00B8433C"/>
    <w:rsid w:val="00B87491"/>
    <w:rsid w:val="00B904BA"/>
    <w:rsid w:val="00B90622"/>
    <w:rsid w:val="00B91DBE"/>
    <w:rsid w:val="00B922BC"/>
    <w:rsid w:val="00B93532"/>
    <w:rsid w:val="00B940C2"/>
    <w:rsid w:val="00B94814"/>
    <w:rsid w:val="00B96AF5"/>
    <w:rsid w:val="00BA1B98"/>
    <w:rsid w:val="00BA29E9"/>
    <w:rsid w:val="00BA691B"/>
    <w:rsid w:val="00BA7142"/>
    <w:rsid w:val="00BB08BF"/>
    <w:rsid w:val="00BB234D"/>
    <w:rsid w:val="00BB237C"/>
    <w:rsid w:val="00BB41A3"/>
    <w:rsid w:val="00BB6B33"/>
    <w:rsid w:val="00BC1BC2"/>
    <w:rsid w:val="00BC1D0C"/>
    <w:rsid w:val="00BC26F7"/>
    <w:rsid w:val="00BC32DC"/>
    <w:rsid w:val="00BC35B6"/>
    <w:rsid w:val="00BC58A9"/>
    <w:rsid w:val="00BC6F4B"/>
    <w:rsid w:val="00BC78BE"/>
    <w:rsid w:val="00BD1B51"/>
    <w:rsid w:val="00BD3C01"/>
    <w:rsid w:val="00BD4596"/>
    <w:rsid w:val="00BD49F5"/>
    <w:rsid w:val="00BD4CAE"/>
    <w:rsid w:val="00BD6AFD"/>
    <w:rsid w:val="00BD6E87"/>
    <w:rsid w:val="00BE1405"/>
    <w:rsid w:val="00BE1755"/>
    <w:rsid w:val="00BE312D"/>
    <w:rsid w:val="00BE67E9"/>
    <w:rsid w:val="00BE717C"/>
    <w:rsid w:val="00BF1C20"/>
    <w:rsid w:val="00BF2DFB"/>
    <w:rsid w:val="00BF4F2D"/>
    <w:rsid w:val="00BF5528"/>
    <w:rsid w:val="00C05FB8"/>
    <w:rsid w:val="00C07A5F"/>
    <w:rsid w:val="00C07B99"/>
    <w:rsid w:val="00C07C1C"/>
    <w:rsid w:val="00C10205"/>
    <w:rsid w:val="00C10578"/>
    <w:rsid w:val="00C126D8"/>
    <w:rsid w:val="00C132B2"/>
    <w:rsid w:val="00C135BC"/>
    <w:rsid w:val="00C15C95"/>
    <w:rsid w:val="00C163C0"/>
    <w:rsid w:val="00C16452"/>
    <w:rsid w:val="00C203F8"/>
    <w:rsid w:val="00C2596A"/>
    <w:rsid w:val="00C26740"/>
    <w:rsid w:val="00C27537"/>
    <w:rsid w:val="00C328FE"/>
    <w:rsid w:val="00C330B8"/>
    <w:rsid w:val="00C33507"/>
    <w:rsid w:val="00C36E8E"/>
    <w:rsid w:val="00C37769"/>
    <w:rsid w:val="00C37B9D"/>
    <w:rsid w:val="00C37C49"/>
    <w:rsid w:val="00C402D3"/>
    <w:rsid w:val="00C407A6"/>
    <w:rsid w:val="00C422A2"/>
    <w:rsid w:val="00C4409D"/>
    <w:rsid w:val="00C44E72"/>
    <w:rsid w:val="00C45A06"/>
    <w:rsid w:val="00C47E5B"/>
    <w:rsid w:val="00C52210"/>
    <w:rsid w:val="00C61728"/>
    <w:rsid w:val="00C61E4B"/>
    <w:rsid w:val="00C61E5E"/>
    <w:rsid w:val="00C631F4"/>
    <w:rsid w:val="00C648BD"/>
    <w:rsid w:val="00C64BFF"/>
    <w:rsid w:val="00C65780"/>
    <w:rsid w:val="00C65A6A"/>
    <w:rsid w:val="00C65A7C"/>
    <w:rsid w:val="00C65F6A"/>
    <w:rsid w:val="00C67E01"/>
    <w:rsid w:val="00C704E9"/>
    <w:rsid w:val="00C728EA"/>
    <w:rsid w:val="00C72BC5"/>
    <w:rsid w:val="00C75C2D"/>
    <w:rsid w:val="00C763C9"/>
    <w:rsid w:val="00C77ACB"/>
    <w:rsid w:val="00C80057"/>
    <w:rsid w:val="00C80AF1"/>
    <w:rsid w:val="00C82232"/>
    <w:rsid w:val="00C82754"/>
    <w:rsid w:val="00C82913"/>
    <w:rsid w:val="00C835BE"/>
    <w:rsid w:val="00C83A8C"/>
    <w:rsid w:val="00C8617E"/>
    <w:rsid w:val="00C87767"/>
    <w:rsid w:val="00C87790"/>
    <w:rsid w:val="00C95D5D"/>
    <w:rsid w:val="00C972B1"/>
    <w:rsid w:val="00C97492"/>
    <w:rsid w:val="00C974BB"/>
    <w:rsid w:val="00CA0609"/>
    <w:rsid w:val="00CA0B1A"/>
    <w:rsid w:val="00CA1D95"/>
    <w:rsid w:val="00CA2CCE"/>
    <w:rsid w:val="00CA326A"/>
    <w:rsid w:val="00CA43FD"/>
    <w:rsid w:val="00CA5CE8"/>
    <w:rsid w:val="00CA7BC2"/>
    <w:rsid w:val="00CA7EF8"/>
    <w:rsid w:val="00CB0E38"/>
    <w:rsid w:val="00CB2BC9"/>
    <w:rsid w:val="00CB32D4"/>
    <w:rsid w:val="00CB36CD"/>
    <w:rsid w:val="00CB3767"/>
    <w:rsid w:val="00CC06E9"/>
    <w:rsid w:val="00CC1ED3"/>
    <w:rsid w:val="00CC22D5"/>
    <w:rsid w:val="00CC4681"/>
    <w:rsid w:val="00CC489B"/>
    <w:rsid w:val="00CC6254"/>
    <w:rsid w:val="00CD239F"/>
    <w:rsid w:val="00CD2663"/>
    <w:rsid w:val="00CD2BCD"/>
    <w:rsid w:val="00CD2D2E"/>
    <w:rsid w:val="00CD3A4C"/>
    <w:rsid w:val="00CD3B97"/>
    <w:rsid w:val="00CD41CB"/>
    <w:rsid w:val="00CE10E9"/>
    <w:rsid w:val="00CE1CB2"/>
    <w:rsid w:val="00CE1D39"/>
    <w:rsid w:val="00CE2910"/>
    <w:rsid w:val="00CE329E"/>
    <w:rsid w:val="00CE4E2A"/>
    <w:rsid w:val="00CE5393"/>
    <w:rsid w:val="00CE56EA"/>
    <w:rsid w:val="00CE79A5"/>
    <w:rsid w:val="00CF0389"/>
    <w:rsid w:val="00CF0746"/>
    <w:rsid w:val="00CF2006"/>
    <w:rsid w:val="00CF36BE"/>
    <w:rsid w:val="00CF5403"/>
    <w:rsid w:val="00CF562A"/>
    <w:rsid w:val="00CF5938"/>
    <w:rsid w:val="00CF6000"/>
    <w:rsid w:val="00CF6944"/>
    <w:rsid w:val="00D003F3"/>
    <w:rsid w:val="00D0364F"/>
    <w:rsid w:val="00D051BE"/>
    <w:rsid w:val="00D0578E"/>
    <w:rsid w:val="00D06834"/>
    <w:rsid w:val="00D07847"/>
    <w:rsid w:val="00D07C9A"/>
    <w:rsid w:val="00D11417"/>
    <w:rsid w:val="00D124CF"/>
    <w:rsid w:val="00D13CD9"/>
    <w:rsid w:val="00D13F04"/>
    <w:rsid w:val="00D14EA9"/>
    <w:rsid w:val="00D17D4A"/>
    <w:rsid w:val="00D21454"/>
    <w:rsid w:val="00D23793"/>
    <w:rsid w:val="00D250AB"/>
    <w:rsid w:val="00D25C5E"/>
    <w:rsid w:val="00D308ED"/>
    <w:rsid w:val="00D3339B"/>
    <w:rsid w:val="00D337D9"/>
    <w:rsid w:val="00D36D86"/>
    <w:rsid w:val="00D4244F"/>
    <w:rsid w:val="00D428AA"/>
    <w:rsid w:val="00D45CD8"/>
    <w:rsid w:val="00D50A34"/>
    <w:rsid w:val="00D524BB"/>
    <w:rsid w:val="00D53EFA"/>
    <w:rsid w:val="00D559A2"/>
    <w:rsid w:val="00D55D81"/>
    <w:rsid w:val="00D618C3"/>
    <w:rsid w:val="00D61F87"/>
    <w:rsid w:val="00D62451"/>
    <w:rsid w:val="00D63EBA"/>
    <w:rsid w:val="00D64153"/>
    <w:rsid w:val="00D65006"/>
    <w:rsid w:val="00D657C7"/>
    <w:rsid w:val="00D66F90"/>
    <w:rsid w:val="00D70FB1"/>
    <w:rsid w:val="00D7152C"/>
    <w:rsid w:val="00D71A4C"/>
    <w:rsid w:val="00D73184"/>
    <w:rsid w:val="00D73663"/>
    <w:rsid w:val="00D759E1"/>
    <w:rsid w:val="00D8037F"/>
    <w:rsid w:val="00D81017"/>
    <w:rsid w:val="00D81048"/>
    <w:rsid w:val="00D81F12"/>
    <w:rsid w:val="00D8368D"/>
    <w:rsid w:val="00D87954"/>
    <w:rsid w:val="00D900F6"/>
    <w:rsid w:val="00D9021C"/>
    <w:rsid w:val="00D908B2"/>
    <w:rsid w:val="00D91A28"/>
    <w:rsid w:val="00D91FA6"/>
    <w:rsid w:val="00D942BE"/>
    <w:rsid w:val="00D94585"/>
    <w:rsid w:val="00D9481B"/>
    <w:rsid w:val="00D94A7C"/>
    <w:rsid w:val="00D95056"/>
    <w:rsid w:val="00D95192"/>
    <w:rsid w:val="00D951BC"/>
    <w:rsid w:val="00D95896"/>
    <w:rsid w:val="00D95B88"/>
    <w:rsid w:val="00DA03DD"/>
    <w:rsid w:val="00DA423B"/>
    <w:rsid w:val="00DA4B45"/>
    <w:rsid w:val="00DA5AFE"/>
    <w:rsid w:val="00DA5D85"/>
    <w:rsid w:val="00DA636D"/>
    <w:rsid w:val="00DA7B74"/>
    <w:rsid w:val="00DB04C4"/>
    <w:rsid w:val="00DB2983"/>
    <w:rsid w:val="00DB337F"/>
    <w:rsid w:val="00DB4774"/>
    <w:rsid w:val="00DB4F88"/>
    <w:rsid w:val="00DB59B1"/>
    <w:rsid w:val="00DB5CC2"/>
    <w:rsid w:val="00DB69D1"/>
    <w:rsid w:val="00DC0F5F"/>
    <w:rsid w:val="00DC1257"/>
    <w:rsid w:val="00DC384C"/>
    <w:rsid w:val="00DC3DC0"/>
    <w:rsid w:val="00DC584E"/>
    <w:rsid w:val="00DC5B2B"/>
    <w:rsid w:val="00DC769D"/>
    <w:rsid w:val="00DD0FC4"/>
    <w:rsid w:val="00DD14C0"/>
    <w:rsid w:val="00DD318D"/>
    <w:rsid w:val="00DD32BE"/>
    <w:rsid w:val="00DD4D1B"/>
    <w:rsid w:val="00DD6115"/>
    <w:rsid w:val="00DD6EA3"/>
    <w:rsid w:val="00DE149A"/>
    <w:rsid w:val="00DE380A"/>
    <w:rsid w:val="00DE3C8F"/>
    <w:rsid w:val="00DE4122"/>
    <w:rsid w:val="00DE644B"/>
    <w:rsid w:val="00DE6F49"/>
    <w:rsid w:val="00DF0775"/>
    <w:rsid w:val="00DF21E2"/>
    <w:rsid w:val="00DF2A7D"/>
    <w:rsid w:val="00DF2E12"/>
    <w:rsid w:val="00DF514A"/>
    <w:rsid w:val="00DF6690"/>
    <w:rsid w:val="00DF6804"/>
    <w:rsid w:val="00DF78BD"/>
    <w:rsid w:val="00E00D8C"/>
    <w:rsid w:val="00E0358D"/>
    <w:rsid w:val="00E03F31"/>
    <w:rsid w:val="00E04323"/>
    <w:rsid w:val="00E045F6"/>
    <w:rsid w:val="00E05005"/>
    <w:rsid w:val="00E0668F"/>
    <w:rsid w:val="00E07021"/>
    <w:rsid w:val="00E070A2"/>
    <w:rsid w:val="00E120A6"/>
    <w:rsid w:val="00E20F53"/>
    <w:rsid w:val="00E25ACB"/>
    <w:rsid w:val="00E2656A"/>
    <w:rsid w:val="00E33878"/>
    <w:rsid w:val="00E353A1"/>
    <w:rsid w:val="00E3571E"/>
    <w:rsid w:val="00E35F49"/>
    <w:rsid w:val="00E412D0"/>
    <w:rsid w:val="00E4261E"/>
    <w:rsid w:val="00E4267A"/>
    <w:rsid w:val="00E458F7"/>
    <w:rsid w:val="00E47862"/>
    <w:rsid w:val="00E50BB2"/>
    <w:rsid w:val="00E522CB"/>
    <w:rsid w:val="00E54404"/>
    <w:rsid w:val="00E55AFC"/>
    <w:rsid w:val="00E560D4"/>
    <w:rsid w:val="00E56322"/>
    <w:rsid w:val="00E56520"/>
    <w:rsid w:val="00E56ADD"/>
    <w:rsid w:val="00E56C11"/>
    <w:rsid w:val="00E57272"/>
    <w:rsid w:val="00E60982"/>
    <w:rsid w:val="00E61E57"/>
    <w:rsid w:val="00E62A7A"/>
    <w:rsid w:val="00E62C62"/>
    <w:rsid w:val="00E634A5"/>
    <w:rsid w:val="00E646D2"/>
    <w:rsid w:val="00E65227"/>
    <w:rsid w:val="00E654C1"/>
    <w:rsid w:val="00E65D97"/>
    <w:rsid w:val="00E67A3B"/>
    <w:rsid w:val="00E71703"/>
    <w:rsid w:val="00E72A5A"/>
    <w:rsid w:val="00E73032"/>
    <w:rsid w:val="00E73354"/>
    <w:rsid w:val="00E75A62"/>
    <w:rsid w:val="00E75BC5"/>
    <w:rsid w:val="00E7716C"/>
    <w:rsid w:val="00E81AF4"/>
    <w:rsid w:val="00E83876"/>
    <w:rsid w:val="00E83F49"/>
    <w:rsid w:val="00E85D3B"/>
    <w:rsid w:val="00E8638A"/>
    <w:rsid w:val="00E912B4"/>
    <w:rsid w:val="00E920BB"/>
    <w:rsid w:val="00E9242D"/>
    <w:rsid w:val="00E92458"/>
    <w:rsid w:val="00EA2124"/>
    <w:rsid w:val="00EA310D"/>
    <w:rsid w:val="00EA7D89"/>
    <w:rsid w:val="00EB0664"/>
    <w:rsid w:val="00EB49C0"/>
    <w:rsid w:val="00EB4E43"/>
    <w:rsid w:val="00EB5255"/>
    <w:rsid w:val="00EB5C47"/>
    <w:rsid w:val="00EC1C8C"/>
    <w:rsid w:val="00EC5291"/>
    <w:rsid w:val="00EC5933"/>
    <w:rsid w:val="00ED0639"/>
    <w:rsid w:val="00ED1976"/>
    <w:rsid w:val="00ED2A35"/>
    <w:rsid w:val="00ED2CEC"/>
    <w:rsid w:val="00ED4344"/>
    <w:rsid w:val="00ED4561"/>
    <w:rsid w:val="00ED76C9"/>
    <w:rsid w:val="00ED782A"/>
    <w:rsid w:val="00ED79D2"/>
    <w:rsid w:val="00EE1B97"/>
    <w:rsid w:val="00EE20F2"/>
    <w:rsid w:val="00EE226F"/>
    <w:rsid w:val="00EE568B"/>
    <w:rsid w:val="00EE7DF5"/>
    <w:rsid w:val="00EF0341"/>
    <w:rsid w:val="00EF4755"/>
    <w:rsid w:val="00EF6A39"/>
    <w:rsid w:val="00EF7135"/>
    <w:rsid w:val="00F005D3"/>
    <w:rsid w:val="00F0189C"/>
    <w:rsid w:val="00F027DB"/>
    <w:rsid w:val="00F037E6"/>
    <w:rsid w:val="00F0385B"/>
    <w:rsid w:val="00F04874"/>
    <w:rsid w:val="00F10000"/>
    <w:rsid w:val="00F109BE"/>
    <w:rsid w:val="00F11A58"/>
    <w:rsid w:val="00F148DA"/>
    <w:rsid w:val="00F14A7A"/>
    <w:rsid w:val="00F15319"/>
    <w:rsid w:val="00F15776"/>
    <w:rsid w:val="00F158E9"/>
    <w:rsid w:val="00F222AA"/>
    <w:rsid w:val="00F228CC"/>
    <w:rsid w:val="00F22985"/>
    <w:rsid w:val="00F22CC4"/>
    <w:rsid w:val="00F23A9B"/>
    <w:rsid w:val="00F27555"/>
    <w:rsid w:val="00F307B3"/>
    <w:rsid w:val="00F327F3"/>
    <w:rsid w:val="00F3383E"/>
    <w:rsid w:val="00F340A6"/>
    <w:rsid w:val="00F35A2A"/>
    <w:rsid w:val="00F365ED"/>
    <w:rsid w:val="00F37829"/>
    <w:rsid w:val="00F40FA8"/>
    <w:rsid w:val="00F4134D"/>
    <w:rsid w:val="00F42A23"/>
    <w:rsid w:val="00F4357B"/>
    <w:rsid w:val="00F465A7"/>
    <w:rsid w:val="00F50B7C"/>
    <w:rsid w:val="00F550E6"/>
    <w:rsid w:val="00F56F39"/>
    <w:rsid w:val="00F63C4E"/>
    <w:rsid w:val="00F64AA8"/>
    <w:rsid w:val="00F702E3"/>
    <w:rsid w:val="00F715F2"/>
    <w:rsid w:val="00F718BD"/>
    <w:rsid w:val="00F71C5E"/>
    <w:rsid w:val="00F73F98"/>
    <w:rsid w:val="00F74345"/>
    <w:rsid w:val="00F750D3"/>
    <w:rsid w:val="00F75C63"/>
    <w:rsid w:val="00F80A0A"/>
    <w:rsid w:val="00F82B19"/>
    <w:rsid w:val="00F877DE"/>
    <w:rsid w:val="00F907F3"/>
    <w:rsid w:val="00F9212D"/>
    <w:rsid w:val="00F959DA"/>
    <w:rsid w:val="00F965DA"/>
    <w:rsid w:val="00FA27A0"/>
    <w:rsid w:val="00FA38E8"/>
    <w:rsid w:val="00FA406A"/>
    <w:rsid w:val="00FB31BD"/>
    <w:rsid w:val="00FB503A"/>
    <w:rsid w:val="00FB516C"/>
    <w:rsid w:val="00FB5D0E"/>
    <w:rsid w:val="00FB655F"/>
    <w:rsid w:val="00FC0869"/>
    <w:rsid w:val="00FC25CB"/>
    <w:rsid w:val="00FC7A45"/>
    <w:rsid w:val="00FD0236"/>
    <w:rsid w:val="00FD18F4"/>
    <w:rsid w:val="00FD233B"/>
    <w:rsid w:val="00FD38E0"/>
    <w:rsid w:val="00FD51D6"/>
    <w:rsid w:val="00FD54DB"/>
    <w:rsid w:val="00FD619F"/>
    <w:rsid w:val="00FD7D94"/>
    <w:rsid w:val="00FE0FC5"/>
    <w:rsid w:val="00FE1BF3"/>
    <w:rsid w:val="00FE2714"/>
    <w:rsid w:val="00FF18CC"/>
    <w:rsid w:val="00FF268F"/>
    <w:rsid w:val="01290F7E"/>
    <w:rsid w:val="015D1E09"/>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3407D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B7A4366"/>
    <w:rsid w:val="1C5E7925"/>
    <w:rsid w:val="1CFD070F"/>
    <w:rsid w:val="1D5F6196"/>
    <w:rsid w:val="1D6132A5"/>
    <w:rsid w:val="1D8E56D5"/>
    <w:rsid w:val="1E7A43DA"/>
    <w:rsid w:val="1F1F2DB5"/>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A8701E0"/>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4BB781A"/>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2D2E0D"/>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937E58"/>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905B4"/>
    <w:rsid w:val="780F09F4"/>
    <w:rsid w:val="78A90480"/>
    <w:rsid w:val="78C47CC2"/>
    <w:rsid w:val="7A364017"/>
    <w:rsid w:val="7A8265E1"/>
    <w:rsid w:val="7B686D42"/>
    <w:rsid w:val="7B841746"/>
    <w:rsid w:val="7C6C5AC7"/>
    <w:rsid w:val="7CC6544B"/>
    <w:rsid w:val="7D0239FF"/>
    <w:rsid w:val="7D223E59"/>
    <w:rsid w:val="7D5162D9"/>
    <w:rsid w:val="7D5E40CD"/>
    <w:rsid w:val="7DCD56F2"/>
    <w:rsid w:val="7E9B155F"/>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nhideWhenUsed="0" w:uiPriority="9"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99" w:name="index 1" w:locked="1"/>
    <w:lsdException w:qFormat="1" w:unhideWhenUsed="0" w:uiPriority="99" w:name="index 2" w:locked="1"/>
    <w:lsdException w:qFormat="1" w:unhideWhenUsed="0" w:uiPriority="99" w:name="index 3" w:locked="1"/>
    <w:lsdException w:qFormat="1" w:unhideWhenUsed="0" w:uiPriority="99" w:name="index 4" w:locked="1"/>
    <w:lsdException w:qFormat="1" w:unhideWhenUsed="0" w:uiPriority="99" w:name="index 5" w:locked="1"/>
    <w:lsdException w:qFormat="1" w:unhideWhenUsed="0" w:uiPriority="99" w:name="index 6" w:locked="1"/>
    <w:lsdException w:qFormat="1" w:unhideWhenUsed="0" w:uiPriority="99" w:name="index 7" w:locked="1"/>
    <w:lsdException w:qFormat="1" w:unhideWhenUsed="0" w:uiPriority="99" w:name="index 8" w:locked="1"/>
    <w:lsdException w:qFormat="1" w:unhideWhenUsed="0" w:uiPriority="99"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qFormat="1" w:unhideWhenUsed="0" w:uiPriority="0" w:name="toc 4" w:locked="1"/>
    <w:lsdException w:qFormat="1" w:unhideWhenUsed="0" w:uiPriority="0" w:name="toc 5" w:locked="1"/>
    <w:lsdException w:qFormat="1" w:unhideWhenUsed="0" w:uiPriority="0" w:name="toc 6" w:locked="1"/>
    <w:lsdException w:qFormat="1" w:unhideWhenUsed="0" w:uiPriority="0" w:name="toc 7" w:locked="1"/>
    <w:lsdException w:qFormat="1" w:unhideWhenUsed="0" w:uiPriority="0" w:name="toc 8" w:locked="1"/>
    <w:lsdException w:qFormat="1" w:unhideWhenUsed="0" w:uiPriority="0" w:name="toc 9" w:locked="1"/>
    <w:lsdException w:qFormat="1" w:unhideWhenUsed="0" w:uiPriority="0" w:semiHidden="0" w:name="Normal Indent" w:locked="1"/>
    <w:lsdException w:qFormat="1" w:uiPriority="99"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ocked="1"/>
    <w:lsdException w:qFormat="1" w:unhideWhenUsed="0" w:uiPriority="35"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nhideWhenUsed="0" w:uiPriority="0" w:semiHidden="0" w:name="table of authorities" w:locked="1"/>
    <w:lsdException w:uiPriority="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99" w:semiHidden="0" w:name="Body Text Indent 3" w:locked="1"/>
    <w:lsdException w:uiPriority="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qFormat="1" w:unhideWhenUsed="0" w:uiPriority="0" w:semiHidden="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link w:val="60"/>
    <w:qFormat/>
    <w:locked/>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61"/>
    <w:qFormat/>
    <w:locked/>
    <w:uiPriority w:val="0"/>
    <w:pPr>
      <w:keepNext/>
      <w:keepLines/>
      <w:spacing w:before="260" w:after="260" w:line="416" w:lineRule="auto"/>
      <w:outlineLvl w:val="1"/>
    </w:pPr>
    <w:rPr>
      <w:rFonts w:ascii="Arial" w:hAnsi="Arial" w:eastAsia="黑体"/>
      <w:b/>
      <w:bCs/>
      <w:sz w:val="32"/>
      <w:szCs w:val="32"/>
      <w:lang w:val="en-GB" w:eastAsia="zh-TW"/>
    </w:rPr>
  </w:style>
  <w:style w:type="paragraph" w:styleId="5">
    <w:name w:val="heading 3"/>
    <w:basedOn w:val="1"/>
    <w:next w:val="1"/>
    <w:link w:val="62"/>
    <w:qFormat/>
    <w:locked/>
    <w:uiPriority w:val="0"/>
    <w:pPr>
      <w:keepNext/>
      <w:keepLines/>
      <w:spacing w:before="260" w:after="260" w:line="416" w:lineRule="auto"/>
      <w:outlineLvl w:val="2"/>
    </w:pPr>
    <w:rPr>
      <w:b/>
      <w:bCs/>
      <w:sz w:val="32"/>
      <w:szCs w:val="32"/>
    </w:rPr>
  </w:style>
  <w:style w:type="paragraph" w:styleId="6">
    <w:name w:val="heading 4"/>
    <w:basedOn w:val="1"/>
    <w:next w:val="1"/>
    <w:link w:val="63"/>
    <w:qFormat/>
    <w:locked/>
    <w:uiPriority w:val="0"/>
    <w:pPr>
      <w:keepNext/>
      <w:keepLines/>
      <w:spacing w:before="280" w:after="290" w:line="376" w:lineRule="auto"/>
      <w:outlineLvl w:val="3"/>
    </w:pPr>
    <w:rPr>
      <w:rFonts w:ascii="Cambria" w:hAnsi="Cambria"/>
      <w:b/>
      <w:bCs/>
      <w:sz w:val="28"/>
      <w:szCs w:val="28"/>
      <w:lang w:val="en-GB" w:eastAsia="zh-TW"/>
    </w:rPr>
  </w:style>
  <w:style w:type="paragraph" w:styleId="7">
    <w:name w:val="heading 5"/>
    <w:basedOn w:val="1"/>
    <w:next w:val="1"/>
    <w:link w:val="64"/>
    <w:qFormat/>
    <w:locked/>
    <w:uiPriority w:val="9"/>
    <w:pPr>
      <w:keepNext/>
      <w:keepLines/>
      <w:spacing w:before="280" w:after="290" w:line="376" w:lineRule="auto"/>
      <w:outlineLvl w:val="4"/>
    </w:pPr>
    <w:rPr>
      <w:b/>
      <w:bCs/>
      <w:sz w:val="28"/>
      <w:szCs w:val="28"/>
      <w:lang w:val="en-GB" w:eastAsia="zh-TW"/>
    </w:rPr>
  </w:style>
  <w:style w:type="character" w:default="1" w:styleId="53">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link w:val="107"/>
    <w:qFormat/>
    <w:locked/>
    <w:uiPriority w:val="0"/>
    <w:pPr>
      <w:ind w:firstLine="420" w:firstLineChars="200"/>
    </w:pPr>
    <w:rPr>
      <w:szCs w:val="20"/>
    </w:rPr>
  </w:style>
  <w:style w:type="paragraph" w:styleId="8">
    <w:name w:val="toc 7"/>
    <w:basedOn w:val="1"/>
    <w:next w:val="1"/>
    <w:semiHidden/>
    <w:qFormat/>
    <w:locked/>
    <w:uiPriority w:val="0"/>
    <w:pPr>
      <w:spacing w:line="360" w:lineRule="auto"/>
      <w:ind w:left="2520" w:leftChars="1200" w:firstLine="200" w:firstLineChars="200"/>
    </w:pPr>
    <w:rPr>
      <w:szCs w:val="22"/>
    </w:rPr>
  </w:style>
  <w:style w:type="paragraph" w:styleId="9">
    <w:name w:val="Note Heading"/>
    <w:basedOn w:val="1"/>
    <w:next w:val="1"/>
    <w:link w:val="94"/>
    <w:qFormat/>
    <w:locked/>
    <w:uiPriority w:val="0"/>
    <w:pPr>
      <w:jc w:val="center"/>
    </w:pPr>
    <w:rPr>
      <w:kern w:val="0"/>
      <w:sz w:val="20"/>
      <w:szCs w:val="20"/>
    </w:rPr>
  </w:style>
  <w:style w:type="paragraph" w:styleId="10">
    <w:name w:val="index 8"/>
    <w:basedOn w:val="1"/>
    <w:next w:val="1"/>
    <w:semiHidden/>
    <w:qFormat/>
    <w:locked/>
    <w:uiPriority w:val="99"/>
    <w:pPr>
      <w:spacing w:line="360" w:lineRule="auto"/>
      <w:ind w:left="1400" w:leftChars="1400" w:firstLine="200" w:firstLineChars="200"/>
    </w:pPr>
    <w:rPr>
      <w:szCs w:val="22"/>
    </w:rPr>
  </w:style>
  <w:style w:type="paragraph" w:styleId="11">
    <w:name w:val="caption"/>
    <w:basedOn w:val="1"/>
    <w:next w:val="1"/>
    <w:qFormat/>
    <w:locked/>
    <w:uiPriority w:val="35"/>
    <w:pPr>
      <w:spacing w:line="520" w:lineRule="exact"/>
      <w:jc w:val="center"/>
    </w:pPr>
    <w:rPr>
      <w:rFonts w:hint="eastAsia" w:eastAsia="黑体"/>
      <w:szCs w:val="20"/>
    </w:rPr>
  </w:style>
  <w:style w:type="paragraph" w:styleId="12">
    <w:name w:val="index 5"/>
    <w:basedOn w:val="1"/>
    <w:next w:val="1"/>
    <w:semiHidden/>
    <w:qFormat/>
    <w:locked/>
    <w:uiPriority w:val="99"/>
    <w:pPr>
      <w:spacing w:line="360" w:lineRule="auto"/>
      <w:ind w:left="800" w:leftChars="800" w:firstLine="200" w:firstLineChars="200"/>
    </w:pPr>
    <w:rPr>
      <w:szCs w:val="22"/>
    </w:rPr>
  </w:style>
  <w:style w:type="paragraph" w:styleId="13">
    <w:name w:val="Document Map"/>
    <w:basedOn w:val="1"/>
    <w:link w:val="134"/>
    <w:qFormat/>
    <w:locked/>
    <w:uiPriority w:val="0"/>
    <w:pPr>
      <w:shd w:val="clear" w:color="auto" w:fill="000080"/>
    </w:pPr>
    <w:rPr>
      <w:lang w:val="en-GB" w:eastAsia="zh-TW"/>
    </w:rPr>
  </w:style>
  <w:style w:type="paragraph" w:styleId="14">
    <w:name w:val="toa heading"/>
    <w:basedOn w:val="1"/>
    <w:next w:val="1"/>
    <w:qFormat/>
    <w:locked/>
    <w:uiPriority w:val="0"/>
    <w:pPr>
      <w:widowControl/>
      <w:spacing w:before="120"/>
      <w:jc w:val="left"/>
    </w:pPr>
    <w:rPr>
      <w:rFonts w:ascii="Arial" w:hAnsi="Arial" w:cs="Arial"/>
      <w:kern w:val="0"/>
    </w:rPr>
  </w:style>
  <w:style w:type="paragraph" w:styleId="15">
    <w:name w:val="annotation text"/>
    <w:basedOn w:val="1"/>
    <w:link w:val="65"/>
    <w:qFormat/>
    <w:uiPriority w:val="0"/>
    <w:pPr>
      <w:jc w:val="left"/>
    </w:pPr>
    <w:rPr>
      <w:kern w:val="0"/>
      <w:szCs w:val="20"/>
    </w:rPr>
  </w:style>
  <w:style w:type="paragraph" w:styleId="16">
    <w:name w:val="index 6"/>
    <w:basedOn w:val="1"/>
    <w:next w:val="1"/>
    <w:semiHidden/>
    <w:qFormat/>
    <w:locked/>
    <w:uiPriority w:val="99"/>
    <w:pPr>
      <w:spacing w:line="360" w:lineRule="auto"/>
      <w:ind w:left="1000" w:leftChars="1000" w:firstLine="200" w:firstLineChars="200"/>
    </w:pPr>
    <w:rPr>
      <w:szCs w:val="22"/>
    </w:rPr>
  </w:style>
  <w:style w:type="paragraph" w:styleId="17">
    <w:name w:val="Body Text 3"/>
    <w:basedOn w:val="1"/>
    <w:link w:val="219"/>
    <w:qFormat/>
    <w:locked/>
    <w:uiPriority w:val="0"/>
    <w:pPr>
      <w:widowControl/>
      <w:jc w:val="left"/>
    </w:pPr>
    <w:rPr>
      <w:rFonts w:ascii="宋体" w:hAnsi="宋体" w:cs="宋体"/>
      <w:kern w:val="0"/>
      <w:sz w:val="18"/>
    </w:rPr>
  </w:style>
  <w:style w:type="paragraph" w:styleId="18">
    <w:name w:val="Body Text"/>
    <w:basedOn w:val="1"/>
    <w:link w:val="66"/>
    <w:qFormat/>
    <w:uiPriority w:val="0"/>
    <w:pPr>
      <w:widowControl/>
      <w:snapToGrid w:val="0"/>
      <w:spacing w:before="60" w:after="160" w:line="259" w:lineRule="auto"/>
      <w:ind w:right="113"/>
    </w:pPr>
    <w:rPr>
      <w:kern w:val="0"/>
      <w:sz w:val="18"/>
      <w:szCs w:val="20"/>
    </w:rPr>
  </w:style>
  <w:style w:type="paragraph" w:styleId="19">
    <w:name w:val="Body Text Indent"/>
    <w:basedOn w:val="1"/>
    <w:link w:val="67"/>
    <w:qFormat/>
    <w:uiPriority w:val="0"/>
    <w:pPr>
      <w:spacing w:after="120"/>
      <w:ind w:left="420" w:leftChars="200"/>
    </w:pPr>
    <w:rPr>
      <w:kern w:val="0"/>
      <w:szCs w:val="20"/>
    </w:rPr>
  </w:style>
  <w:style w:type="paragraph" w:styleId="20">
    <w:name w:val="index 4"/>
    <w:basedOn w:val="1"/>
    <w:next w:val="1"/>
    <w:semiHidden/>
    <w:qFormat/>
    <w:locked/>
    <w:uiPriority w:val="99"/>
    <w:pPr>
      <w:spacing w:line="360" w:lineRule="auto"/>
      <w:ind w:left="600" w:leftChars="600" w:firstLine="200" w:firstLineChars="200"/>
    </w:pPr>
    <w:rPr>
      <w:szCs w:val="22"/>
    </w:rPr>
  </w:style>
  <w:style w:type="paragraph" w:styleId="21">
    <w:name w:val="toc 5"/>
    <w:basedOn w:val="1"/>
    <w:next w:val="1"/>
    <w:semiHidden/>
    <w:qFormat/>
    <w:locked/>
    <w:uiPriority w:val="0"/>
    <w:pPr>
      <w:spacing w:line="360" w:lineRule="auto"/>
      <w:ind w:left="1680" w:leftChars="800" w:firstLine="200" w:firstLineChars="200"/>
    </w:pPr>
    <w:rPr>
      <w:szCs w:val="22"/>
    </w:rPr>
  </w:style>
  <w:style w:type="paragraph" w:styleId="22">
    <w:name w:val="toc 3"/>
    <w:basedOn w:val="1"/>
    <w:next w:val="1"/>
    <w:qFormat/>
    <w:locked/>
    <w:uiPriority w:val="0"/>
    <w:pPr>
      <w:spacing w:line="360" w:lineRule="auto"/>
      <w:ind w:left="840" w:leftChars="400" w:firstLine="200" w:firstLineChars="200"/>
    </w:pPr>
    <w:rPr>
      <w:szCs w:val="22"/>
    </w:rPr>
  </w:style>
  <w:style w:type="paragraph" w:styleId="23">
    <w:name w:val="Plain Text"/>
    <w:basedOn w:val="1"/>
    <w:link w:val="96"/>
    <w:qFormat/>
    <w:locked/>
    <w:uiPriority w:val="0"/>
    <w:rPr>
      <w:rFonts w:ascii="宋体" w:hAnsi="Courier New"/>
      <w:szCs w:val="21"/>
    </w:rPr>
  </w:style>
  <w:style w:type="paragraph" w:styleId="24">
    <w:name w:val="toc 8"/>
    <w:basedOn w:val="1"/>
    <w:next w:val="1"/>
    <w:semiHidden/>
    <w:qFormat/>
    <w:locked/>
    <w:uiPriority w:val="0"/>
    <w:pPr>
      <w:spacing w:line="360" w:lineRule="auto"/>
      <w:ind w:left="2940" w:leftChars="1400" w:firstLine="200" w:firstLineChars="200"/>
    </w:pPr>
    <w:rPr>
      <w:szCs w:val="22"/>
    </w:rPr>
  </w:style>
  <w:style w:type="paragraph" w:styleId="25">
    <w:name w:val="index 3"/>
    <w:basedOn w:val="1"/>
    <w:next w:val="1"/>
    <w:semiHidden/>
    <w:qFormat/>
    <w:locked/>
    <w:uiPriority w:val="99"/>
    <w:pPr>
      <w:spacing w:line="360" w:lineRule="auto"/>
      <w:ind w:left="400" w:leftChars="400" w:firstLine="200" w:firstLineChars="200"/>
    </w:pPr>
    <w:rPr>
      <w:szCs w:val="22"/>
    </w:rPr>
  </w:style>
  <w:style w:type="paragraph" w:styleId="26">
    <w:name w:val="Date"/>
    <w:basedOn w:val="1"/>
    <w:next w:val="1"/>
    <w:link w:val="68"/>
    <w:qFormat/>
    <w:uiPriority w:val="0"/>
    <w:pPr>
      <w:ind w:left="100" w:leftChars="2500"/>
    </w:pPr>
    <w:rPr>
      <w:kern w:val="0"/>
      <w:szCs w:val="20"/>
    </w:rPr>
  </w:style>
  <w:style w:type="paragraph" w:styleId="27">
    <w:name w:val="Body Text Indent 2"/>
    <w:basedOn w:val="1"/>
    <w:link w:val="133"/>
    <w:qFormat/>
    <w:locked/>
    <w:uiPriority w:val="0"/>
    <w:pPr>
      <w:ind w:firstLine="480" w:firstLineChars="200"/>
    </w:pPr>
    <w:rPr>
      <w:rFonts w:ascii="宋体" w:hAnsi="宋体"/>
      <w:szCs w:val="20"/>
    </w:rPr>
  </w:style>
  <w:style w:type="paragraph" w:styleId="28">
    <w:name w:val="Balloon Text"/>
    <w:basedOn w:val="1"/>
    <w:link w:val="69"/>
    <w:qFormat/>
    <w:uiPriority w:val="0"/>
    <w:rPr>
      <w:kern w:val="0"/>
      <w:sz w:val="18"/>
      <w:szCs w:val="20"/>
    </w:rPr>
  </w:style>
  <w:style w:type="paragraph" w:styleId="29">
    <w:name w:val="footer"/>
    <w:basedOn w:val="1"/>
    <w:link w:val="70"/>
    <w:qFormat/>
    <w:uiPriority w:val="0"/>
    <w:pPr>
      <w:tabs>
        <w:tab w:val="center" w:pos="4153"/>
        <w:tab w:val="right" w:pos="8306"/>
      </w:tabs>
      <w:snapToGrid w:val="0"/>
      <w:jc w:val="left"/>
    </w:pPr>
    <w:rPr>
      <w:kern w:val="0"/>
      <w:sz w:val="18"/>
      <w:szCs w:val="20"/>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kern w:val="0"/>
      <w:sz w:val="18"/>
      <w:szCs w:val="20"/>
    </w:rPr>
  </w:style>
  <w:style w:type="paragraph" w:styleId="31">
    <w:name w:val="toc 1"/>
    <w:basedOn w:val="1"/>
    <w:next w:val="1"/>
    <w:qFormat/>
    <w:locked/>
    <w:uiPriority w:val="0"/>
    <w:pPr>
      <w:spacing w:line="360" w:lineRule="auto"/>
      <w:ind w:firstLine="200" w:firstLineChars="200"/>
    </w:pPr>
    <w:rPr>
      <w:szCs w:val="22"/>
    </w:rPr>
  </w:style>
  <w:style w:type="paragraph" w:styleId="32">
    <w:name w:val="toc 4"/>
    <w:basedOn w:val="1"/>
    <w:next w:val="1"/>
    <w:semiHidden/>
    <w:qFormat/>
    <w:locked/>
    <w:uiPriority w:val="0"/>
    <w:pPr>
      <w:spacing w:line="360" w:lineRule="auto"/>
      <w:ind w:left="1260" w:leftChars="600" w:firstLine="200" w:firstLineChars="200"/>
    </w:pPr>
    <w:rPr>
      <w:szCs w:val="22"/>
    </w:rPr>
  </w:style>
  <w:style w:type="paragraph" w:styleId="33">
    <w:name w:val="Subtitle"/>
    <w:basedOn w:val="1"/>
    <w:next w:val="1"/>
    <w:link w:val="103"/>
    <w:qFormat/>
    <w:locked/>
    <w:uiPriority w:val="0"/>
    <w:pPr>
      <w:adjustRightInd w:val="0"/>
      <w:snapToGrid w:val="0"/>
      <w:jc w:val="center"/>
    </w:pPr>
    <w:rPr>
      <w:rFonts w:eastAsia="黑体"/>
    </w:rPr>
  </w:style>
  <w:style w:type="paragraph" w:styleId="34">
    <w:name w:val="List"/>
    <w:basedOn w:val="1"/>
    <w:next w:val="1"/>
    <w:qFormat/>
    <w:locked/>
    <w:uiPriority w:val="0"/>
    <w:pPr>
      <w:widowControl/>
      <w:ind w:left="420" w:hanging="420"/>
      <w:jc w:val="left"/>
    </w:pPr>
    <w:rPr>
      <w:rFonts w:ascii="宋体" w:hAnsi="宋体" w:cs="宋体"/>
      <w:kern w:val="0"/>
    </w:rPr>
  </w:style>
  <w:style w:type="paragraph" w:styleId="35">
    <w:name w:val="footnote text"/>
    <w:basedOn w:val="1"/>
    <w:link w:val="112"/>
    <w:unhideWhenUsed/>
    <w:qFormat/>
    <w:locked/>
    <w:uiPriority w:val="99"/>
    <w:pPr>
      <w:widowControl/>
      <w:jc w:val="left"/>
    </w:pPr>
    <w:rPr>
      <w:rFonts w:ascii="Calibri" w:hAnsi="Calibri"/>
      <w:kern w:val="0"/>
      <w:sz w:val="20"/>
      <w:szCs w:val="20"/>
    </w:rPr>
  </w:style>
  <w:style w:type="paragraph" w:styleId="36">
    <w:name w:val="toc 6"/>
    <w:basedOn w:val="1"/>
    <w:next w:val="1"/>
    <w:semiHidden/>
    <w:qFormat/>
    <w:locked/>
    <w:uiPriority w:val="0"/>
    <w:pPr>
      <w:spacing w:line="360" w:lineRule="auto"/>
      <w:ind w:left="2100" w:leftChars="1000" w:firstLine="200" w:firstLineChars="200"/>
    </w:pPr>
    <w:rPr>
      <w:szCs w:val="22"/>
    </w:rPr>
  </w:style>
  <w:style w:type="paragraph" w:styleId="37">
    <w:name w:val="Body Text Indent 3"/>
    <w:basedOn w:val="1"/>
    <w:link w:val="137"/>
    <w:qFormat/>
    <w:locked/>
    <w:uiPriority w:val="99"/>
    <w:pPr>
      <w:spacing w:after="120"/>
      <w:ind w:left="420" w:leftChars="200"/>
    </w:pPr>
    <w:rPr>
      <w:sz w:val="16"/>
      <w:szCs w:val="16"/>
      <w:lang w:val="en-GB" w:eastAsia="zh-TW"/>
    </w:rPr>
  </w:style>
  <w:style w:type="paragraph" w:styleId="38">
    <w:name w:val="index 7"/>
    <w:basedOn w:val="1"/>
    <w:next w:val="1"/>
    <w:semiHidden/>
    <w:qFormat/>
    <w:locked/>
    <w:uiPriority w:val="99"/>
    <w:pPr>
      <w:spacing w:line="360" w:lineRule="auto"/>
      <w:ind w:left="1200" w:leftChars="1200" w:firstLine="200" w:firstLineChars="200"/>
    </w:pPr>
    <w:rPr>
      <w:szCs w:val="22"/>
    </w:rPr>
  </w:style>
  <w:style w:type="paragraph" w:styleId="39">
    <w:name w:val="index 9"/>
    <w:basedOn w:val="1"/>
    <w:next w:val="1"/>
    <w:semiHidden/>
    <w:qFormat/>
    <w:locked/>
    <w:uiPriority w:val="99"/>
    <w:pPr>
      <w:spacing w:line="360" w:lineRule="auto"/>
      <w:ind w:left="1600" w:leftChars="1600" w:firstLine="200" w:firstLineChars="200"/>
    </w:pPr>
    <w:rPr>
      <w:szCs w:val="22"/>
    </w:rPr>
  </w:style>
  <w:style w:type="paragraph" w:styleId="40">
    <w:name w:val="toc 2"/>
    <w:basedOn w:val="1"/>
    <w:next w:val="1"/>
    <w:qFormat/>
    <w:locked/>
    <w:uiPriority w:val="0"/>
    <w:pPr>
      <w:spacing w:line="360" w:lineRule="auto"/>
      <w:ind w:left="420" w:leftChars="200" w:firstLine="200" w:firstLineChars="200"/>
    </w:pPr>
    <w:rPr>
      <w:szCs w:val="22"/>
    </w:rPr>
  </w:style>
  <w:style w:type="paragraph" w:styleId="41">
    <w:name w:val="toc 9"/>
    <w:basedOn w:val="1"/>
    <w:next w:val="1"/>
    <w:semiHidden/>
    <w:qFormat/>
    <w:locked/>
    <w:uiPriority w:val="0"/>
    <w:pPr>
      <w:spacing w:line="360" w:lineRule="auto"/>
      <w:ind w:left="3360" w:leftChars="1600" w:firstLine="200" w:firstLineChars="200"/>
    </w:pPr>
    <w:rPr>
      <w:szCs w:val="22"/>
    </w:rPr>
  </w:style>
  <w:style w:type="paragraph" w:styleId="42">
    <w:name w:val="Body Text 2"/>
    <w:basedOn w:val="1"/>
    <w:link w:val="195"/>
    <w:unhideWhenUsed/>
    <w:qFormat/>
    <w:locked/>
    <w:uiPriority w:val="0"/>
    <w:pPr>
      <w:spacing w:after="120" w:line="480" w:lineRule="auto"/>
    </w:pPr>
    <w:rPr>
      <w:rFonts w:ascii="Calibri" w:hAnsi="Calibri"/>
      <w:szCs w:val="22"/>
    </w:rPr>
  </w:style>
  <w:style w:type="paragraph" w:styleId="43">
    <w:name w:val="HTML Preformatted"/>
    <w:basedOn w:val="1"/>
    <w:link w:val="139"/>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4">
    <w:name w:val="Normal (Web)"/>
    <w:basedOn w:val="1"/>
    <w:link w:val="72"/>
    <w:qFormat/>
    <w:uiPriority w:val="0"/>
    <w:pPr>
      <w:widowControl/>
      <w:spacing w:before="100" w:beforeAutospacing="1" w:after="100" w:afterAutospacing="1"/>
      <w:jc w:val="left"/>
    </w:pPr>
    <w:rPr>
      <w:rFonts w:ascii="宋体" w:hAnsi="宋体"/>
      <w:kern w:val="0"/>
      <w:szCs w:val="20"/>
    </w:rPr>
  </w:style>
  <w:style w:type="paragraph" w:styleId="45">
    <w:name w:val="index 1"/>
    <w:basedOn w:val="1"/>
    <w:next w:val="1"/>
    <w:semiHidden/>
    <w:qFormat/>
    <w:locked/>
    <w:uiPriority w:val="99"/>
    <w:pPr>
      <w:spacing w:line="360" w:lineRule="auto"/>
      <w:ind w:firstLine="200" w:firstLineChars="200"/>
    </w:pPr>
    <w:rPr>
      <w:szCs w:val="22"/>
    </w:rPr>
  </w:style>
  <w:style w:type="paragraph" w:styleId="46">
    <w:name w:val="index 2"/>
    <w:basedOn w:val="1"/>
    <w:next w:val="1"/>
    <w:semiHidden/>
    <w:qFormat/>
    <w:locked/>
    <w:uiPriority w:val="99"/>
    <w:pPr>
      <w:spacing w:line="360" w:lineRule="auto"/>
      <w:ind w:left="200" w:leftChars="200" w:firstLine="200" w:firstLineChars="200"/>
    </w:pPr>
    <w:rPr>
      <w:szCs w:val="22"/>
    </w:rPr>
  </w:style>
  <w:style w:type="paragraph" w:styleId="47">
    <w:name w:val="annotation subject"/>
    <w:basedOn w:val="15"/>
    <w:next w:val="15"/>
    <w:link w:val="73"/>
    <w:qFormat/>
    <w:uiPriority w:val="99"/>
    <w:rPr>
      <w:b/>
    </w:rPr>
  </w:style>
  <w:style w:type="paragraph" w:styleId="48">
    <w:name w:val="Body Text First Indent"/>
    <w:basedOn w:val="18"/>
    <w:link w:val="220"/>
    <w:qFormat/>
    <w:locked/>
    <w:uiPriority w:val="0"/>
    <w:pPr>
      <w:snapToGrid/>
      <w:spacing w:before="0" w:after="120" w:line="240" w:lineRule="auto"/>
      <w:ind w:right="0" w:firstLine="420" w:firstLineChars="100"/>
      <w:jc w:val="left"/>
    </w:pPr>
    <w:rPr>
      <w:rFonts w:ascii="宋体" w:hAnsi="宋体" w:cs="宋体"/>
      <w:sz w:val="20"/>
    </w:rPr>
  </w:style>
  <w:style w:type="paragraph" w:styleId="49">
    <w:name w:val="Body Text First Indent 2"/>
    <w:basedOn w:val="19"/>
    <w:link w:val="129"/>
    <w:qFormat/>
    <w:locked/>
    <w:uiPriority w:val="0"/>
    <w:pPr>
      <w:ind w:firstLine="420" w:firstLineChars="200"/>
    </w:pPr>
    <w:rPr>
      <w:kern w:val="2"/>
      <w:sz w:val="21"/>
      <w:szCs w:val="24"/>
      <w:lang w:val="en-GB" w:eastAsia="zh-TW"/>
    </w:rPr>
  </w:style>
  <w:style w:type="table" w:styleId="51">
    <w:name w:val="Table Grid"/>
    <w:basedOn w:val="5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2">
    <w:name w:val="Table Theme"/>
    <w:basedOn w:val="50"/>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4">
    <w:name w:val="Strong"/>
    <w:qFormat/>
    <w:locked/>
    <w:uiPriority w:val="0"/>
    <w:rPr>
      <w:b/>
      <w:bCs/>
    </w:rPr>
  </w:style>
  <w:style w:type="character" w:styleId="55">
    <w:name w:val="page number"/>
    <w:basedOn w:val="53"/>
    <w:qFormat/>
    <w:locked/>
    <w:uiPriority w:val="0"/>
  </w:style>
  <w:style w:type="character" w:styleId="56">
    <w:name w:val="FollowedHyperlink"/>
    <w:qFormat/>
    <w:locked/>
    <w:uiPriority w:val="0"/>
    <w:rPr>
      <w:color w:val="800080"/>
      <w:u w:val="single"/>
    </w:rPr>
  </w:style>
  <w:style w:type="character" w:styleId="57">
    <w:name w:val="Emphasis"/>
    <w:qFormat/>
    <w:locked/>
    <w:uiPriority w:val="0"/>
    <w:rPr>
      <w:i/>
      <w:iCs/>
    </w:rPr>
  </w:style>
  <w:style w:type="character" w:styleId="58">
    <w:name w:val="Hyperlink"/>
    <w:qFormat/>
    <w:locked/>
    <w:uiPriority w:val="0"/>
    <w:rPr>
      <w:color w:val="0000CC"/>
      <w:u w:val="single"/>
    </w:rPr>
  </w:style>
  <w:style w:type="character" w:styleId="59">
    <w:name w:val="annotation reference"/>
    <w:qFormat/>
    <w:uiPriority w:val="0"/>
    <w:rPr>
      <w:sz w:val="21"/>
    </w:rPr>
  </w:style>
  <w:style w:type="character" w:customStyle="1" w:styleId="60">
    <w:name w:val="标题 1 Char"/>
    <w:link w:val="3"/>
    <w:qFormat/>
    <w:uiPriority w:val="1"/>
    <w:rPr>
      <w:rFonts w:eastAsia="黑体"/>
      <w:b/>
      <w:bCs/>
      <w:color w:val="000000"/>
      <w:kern w:val="44"/>
      <w:sz w:val="30"/>
      <w:szCs w:val="30"/>
    </w:rPr>
  </w:style>
  <w:style w:type="character" w:customStyle="1" w:styleId="61">
    <w:name w:val="标题 2 Char"/>
    <w:basedOn w:val="53"/>
    <w:link w:val="4"/>
    <w:qFormat/>
    <w:uiPriority w:val="0"/>
    <w:rPr>
      <w:rFonts w:ascii="Arial" w:hAnsi="Arial" w:eastAsia="黑体"/>
      <w:b/>
      <w:bCs/>
      <w:kern w:val="2"/>
      <w:sz w:val="32"/>
      <w:szCs w:val="32"/>
      <w:lang w:val="en-GB" w:eastAsia="zh-TW"/>
    </w:rPr>
  </w:style>
  <w:style w:type="character" w:customStyle="1" w:styleId="62">
    <w:name w:val="标题 3 Char1"/>
    <w:link w:val="5"/>
    <w:qFormat/>
    <w:uiPriority w:val="0"/>
    <w:rPr>
      <w:b/>
      <w:bCs/>
      <w:kern w:val="2"/>
      <w:sz w:val="32"/>
      <w:szCs w:val="32"/>
    </w:rPr>
  </w:style>
  <w:style w:type="character" w:customStyle="1" w:styleId="63">
    <w:name w:val="标题 4 Char"/>
    <w:basedOn w:val="53"/>
    <w:link w:val="6"/>
    <w:qFormat/>
    <w:uiPriority w:val="0"/>
    <w:rPr>
      <w:rFonts w:ascii="Cambria" w:hAnsi="Cambria"/>
      <w:b/>
      <w:bCs/>
      <w:kern w:val="2"/>
      <w:sz w:val="28"/>
      <w:szCs w:val="28"/>
      <w:lang w:val="en-GB" w:eastAsia="zh-TW"/>
    </w:rPr>
  </w:style>
  <w:style w:type="character" w:customStyle="1" w:styleId="64">
    <w:name w:val="标题 5 Char"/>
    <w:basedOn w:val="53"/>
    <w:link w:val="7"/>
    <w:qFormat/>
    <w:uiPriority w:val="9"/>
    <w:rPr>
      <w:b/>
      <w:bCs/>
      <w:kern w:val="2"/>
      <w:sz w:val="28"/>
      <w:szCs w:val="28"/>
      <w:lang w:val="en-GB" w:eastAsia="zh-TW"/>
    </w:rPr>
  </w:style>
  <w:style w:type="character" w:customStyle="1" w:styleId="65">
    <w:name w:val="批注文字 Char"/>
    <w:link w:val="15"/>
    <w:qFormat/>
    <w:locked/>
    <w:uiPriority w:val="99"/>
    <w:rPr>
      <w:rFonts w:ascii="Times New Roman" w:hAnsi="Times New Roman" w:eastAsia="宋体"/>
      <w:sz w:val="24"/>
    </w:rPr>
  </w:style>
  <w:style w:type="character" w:customStyle="1" w:styleId="66">
    <w:name w:val="正文文本 Char1"/>
    <w:link w:val="18"/>
    <w:qFormat/>
    <w:locked/>
    <w:uiPriority w:val="99"/>
    <w:rPr>
      <w:sz w:val="18"/>
    </w:rPr>
  </w:style>
  <w:style w:type="character" w:customStyle="1" w:styleId="67">
    <w:name w:val="正文文本缩进 Char"/>
    <w:link w:val="19"/>
    <w:qFormat/>
    <w:locked/>
    <w:uiPriority w:val="0"/>
    <w:rPr>
      <w:rFonts w:ascii="Times New Roman" w:hAnsi="Times New Roman" w:eastAsia="宋体"/>
      <w:sz w:val="24"/>
    </w:rPr>
  </w:style>
  <w:style w:type="character" w:customStyle="1" w:styleId="68">
    <w:name w:val="日期 Char"/>
    <w:link w:val="26"/>
    <w:qFormat/>
    <w:locked/>
    <w:uiPriority w:val="0"/>
    <w:rPr>
      <w:rFonts w:ascii="Times New Roman" w:hAnsi="Times New Roman" w:eastAsia="宋体"/>
      <w:sz w:val="24"/>
    </w:rPr>
  </w:style>
  <w:style w:type="character" w:customStyle="1" w:styleId="69">
    <w:name w:val="批注框文本 Char"/>
    <w:link w:val="28"/>
    <w:qFormat/>
    <w:locked/>
    <w:uiPriority w:val="99"/>
    <w:rPr>
      <w:rFonts w:ascii="Times New Roman" w:hAnsi="Times New Roman" w:eastAsia="宋体"/>
      <w:sz w:val="18"/>
    </w:rPr>
  </w:style>
  <w:style w:type="character" w:customStyle="1" w:styleId="70">
    <w:name w:val="页脚 Char"/>
    <w:link w:val="29"/>
    <w:qFormat/>
    <w:locked/>
    <w:uiPriority w:val="99"/>
    <w:rPr>
      <w:sz w:val="18"/>
    </w:rPr>
  </w:style>
  <w:style w:type="character" w:customStyle="1" w:styleId="71">
    <w:name w:val="页眉 Char"/>
    <w:link w:val="30"/>
    <w:qFormat/>
    <w:locked/>
    <w:uiPriority w:val="99"/>
    <w:rPr>
      <w:sz w:val="18"/>
    </w:rPr>
  </w:style>
  <w:style w:type="character" w:customStyle="1" w:styleId="72">
    <w:name w:val="普通(网站) Char"/>
    <w:link w:val="44"/>
    <w:qFormat/>
    <w:locked/>
    <w:uiPriority w:val="0"/>
    <w:rPr>
      <w:rFonts w:ascii="宋体" w:hAnsi="宋体" w:eastAsia="宋体"/>
      <w:sz w:val="24"/>
    </w:rPr>
  </w:style>
  <w:style w:type="character" w:customStyle="1" w:styleId="73">
    <w:name w:val="批注主题 Char"/>
    <w:link w:val="47"/>
    <w:qFormat/>
    <w:locked/>
    <w:uiPriority w:val="99"/>
    <w:rPr>
      <w:rFonts w:ascii="Times New Roman" w:hAnsi="Times New Roman" w:eastAsia="宋体"/>
      <w:b/>
      <w:kern w:val="2"/>
      <w:sz w:val="24"/>
    </w:rPr>
  </w:style>
  <w:style w:type="character" w:customStyle="1" w:styleId="74">
    <w:name w:val="页脚 字符"/>
    <w:basedOn w:val="53"/>
    <w:qFormat/>
    <w:uiPriority w:val="99"/>
  </w:style>
  <w:style w:type="character" w:customStyle="1" w:styleId="75">
    <w:name w:val="正文文本 字符1"/>
    <w:semiHidden/>
    <w:qFormat/>
    <w:uiPriority w:val="0"/>
    <w:rPr>
      <w:rFonts w:ascii="Times New Roman" w:hAnsi="Times New Roman" w:eastAsia="宋体"/>
      <w:sz w:val="24"/>
    </w:rPr>
  </w:style>
  <w:style w:type="character" w:customStyle="1" w:styleId="76">
    <w:name w:val="表格 Char"/>
    <w:link w:val="77"/>
    <w:qFormat/>
    <w:locked/>
    <w:uiPriority w:val="0"/>
    <w:rPr>
      <w:rFonts w:ascii="宋体"/>
      <w:sz w:val="21"/>
    </w:rPr>
  </w:style>
  <w:style w:type="paragraph" w:customStyle="1" w:styleId="77">
    <w:name w:val="表格"/>
    <w:basedOn w:val="1"/>
    <w:next w:val="1"/>
    <w:link w:val="76"/>
    <w:qFormat/>
    <w:uiPriority w:val="0"/>
    <w:pPr>
      <w:adjustRightInd w:val="0"/>
      <w:snapToGrid w:val="0"/>
      <w:spacing w:beforeLines="10" w:afterLines="10" w:line="259" w:lineRule="auto"/>
      <w:jc w:val="center"/>
    </w:pPr>
    <w:rPr>
      <w:rFonts w:ascii="宋体"/>
      <w:kern w:val="0"/>
      <w:szCs w:val="20"/>
    </w:rPr>
  </w:style>
  <w:style w:type="character" w:customStyle="1" w:styleId="78">
    <w:name w:val="日期 字符"/>
    <w:semiHidden/>
    <w:qFormat/>
    <w:uiPriority w:val="99"/>
    <w:rPr>
      <w:rFonts w:ascii="Times New Roman" w:hAnsi="Times New Roman" w:eastAsia="宋体"/>
      <w:sz w:val="24"/>
    </w:rPr>
  </w:style>
  <w:style w:type="character" w:customStyle="1" w:styleId="79">
    <w:name w:val="批注文字 字符1"/>
    <w:semiHidden/>
    <w:qFormat/>
    <w:uiPriority w:val="0"/>
    <w:rPr>
      <w:rFonts w:ascii="Times New Roman" w:hAnsi="Times New Roman" w:eastAsia="宋体"/>
      <w:sz w:val="24"/>
    </w:rPr>
  </w:style>
  <w:style w:type="paragraph" w:customStyle="1" w:styleId="8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1">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82">
    <w:name w:val="标题 3 Char"/>
    <w:basedOn w:val="53"/>
    <w:qFormat/>
    <w:uiPriority w:val="0"/>
    <w:rPr>
      <w:b/>
      <w:bCs/>
      <w:kern w:val="2"/>
      <w:sz w:val="32"/>
      <w:szCs w:val="32"/>
    </w:rPr>
  </w:style>
  <w:style w:type="character" w:customStyle="1" w:styleId="83">
    <w:name w:val="cucd-TB Char"/>
    <w:link w:val="84"/>
    <w:qFormat/>
    <w:uiPriority w:val="0"/>
    <w:rPr>
      <w:kern w:val="2"/>
      <w:sz w:val="21"/>
      <w:szCs w:val="24"/>
    </w:rPr>
  </w:style>
  <w:style w:type="paragraph" w:customStyle="1" w:styleId="84">
    <w:name w:val="cucd-TB"/>
    <w:link w:val="83"/>
    <w:qFormat/>
    <w:uiPriority w:val="0"/>
    <w:pPr>
      <w:spacing w:line="360" w:lineRule="auto"/>
      <w:jc w:val="center"/>
    </w:pPr>
    <w:rPr>
      <w:rFonts w:ascii="Times New Roman" w:hAnsi="Times New Roman" w:eastAsia="宋体" w:cs="Times New Roman"/>
      <w:kern w:val="2"/>
      <w:sz w:val="21"/>
      <w:szCs w:val="24"/>
      <w:lang w:val="en-US" w:eastAsia="zh-CN" w:bidi="ar-SA"/>
    </w:rPr>
  </w:style>
  <w:style w:type="character" w:customStyle="1" w:styleId="85">
    <w:name w:val="fontstyle21"/>
    <w:qFormat/>
    <w:uiPriority w:val="0"/>
    <w:rPr>
      <w:rFonts w:hint="default" w:ascii="Times New Roman" w:hAnsi="Times New Roman" w:eastAsia="宋体" w:cs="Times New Roman"/>
      <w:color w:val="000000"/>
      <w:sz w:val="24"/>
      <w:szCs w:val="24"/>
    </w:rPr>
  </w:style>
  <w:style w:type="character" w:customStyle="1" w:styleId="86">
    <w:name w:val="apple-converted-space"/>
    <w:basedOn w:val="53"/>
    <w:qFormat/>
    <w:uiPriority w:val="99"/>
  </w:style>
  <w:style w:type="character" w:customStyle="1" w:styleId="87">
    <w:name w:val="表格22 Char"/>
    <w:link w:val="88"/>
    <w:qFormat/>
    <w:uiPriority w:val="0"/>
    <w:rPr>
      <w:color w:val="000000"/>
      <w:kern w:val="2"/>
      <w:sz w:val="21"/>
      <w:szCs w:val="21"/>
    </w:rPr>
  </w:style>
  <w:style w:type="paragraph" w:customStyle="1" w:styleId="88">
    <w:name w:val="表格22"/>
    <w:basedOn w:val="1"/>
    <w:link w:val="87"/>
    <w:qFormat/>
    <w:uiPriority w:val="0"/>
    <w:pPr>
      <w:spacing w:line="360" w:lineRule="exact"/>
    </w:pPr>
    <w:rPr>
      <w:color w:val="000000"/>
      <w:szCs w:val="21"/>
    </w:rPr>
  </w:style>
  <w:style w:type="character" w:customStyle="1" w:styleId="89">
    <w:name w:val="正文1 Char"/>
    <w:link w:val="90"/>
    <w:qFormat/>
    <w:uiPriority w:val="0"/>
    <w:rPr>
      <w:b/>
      <w:kern w:val="2"/>
      <w:sz w:val="24"/>
      <w:szCs w:val="24"/>
    </w:rPr>
  </w:style>
  <w:style w:type="paragraph" w:customStyle="1" w:styleId="90">
    <w:name w:val="正文1"/>
    <w:basedOn w:val="1"/>
    <w:link w:val="89"/>
    <w:qFormat/>
    <w:uiPriority w:val="0"/>
    <w:pPr>
      <w:spacing w:before="78" w:beforeLines="25" w:after="78" w:afterLines="25"/>
      <w:jc w:val="center"/>
    </w:pPr>
    <w:rPr>
      <w:b/>
    </w:rPr>
  </w:style>
  <w:style w:type="character" w:customStyle="1" w:styleId="91">
    <w:name w:val="words-outer-wrap"/>
    <w:qFormat/>
    <w:uiPriority w:val="99"/>
  </w:style>
  <w:style w:type="character" w:styleId="92">
    <w:name w:val="Placeholder Text"/>
    <w:unhideWhenUsed/>
    <w:qFormat/>
    <w:uiPriority w:val="99"/>
    <w:rPr>
      <w:rFonts w:hint="eastAsia" w:ascii="Times New Roman" w:hAnsi="Times New Roman" w:eastAsia="宋体" w:cs="Times New Roman"/>
      <w:color w:val="808080"/>
    </w:rPr>
  </w:style>
  <w:style w:type="character" w:customStyle="1" w:styleId="93">
    <w:name w:val="fontstyle11"/>
    <w:qFormat/>
    <w:uiPriority w:val="0"/>
    <w:rPr>
      <w:rFonts w:hint="default" w:ascii="Times New Roman" w:hAnsi="Times New Roman" w:eastAsia="宋体" w:cs="Times New Roman"/>
      <w:color w:val="000000"/>
      <w:sz w:val="22"/>
      <w:szCs w:val="22"/>
    </w:rPr>
  </w:style>
  <w:style w:type="character" w:customStyle="1" w:styleId="94">
    <w:name w:val="注释标题 Char"/>
    <w:basedOn w:val="53"/>
    <w:link w:val="9"/>
    <w:qFormat/>
    <w:uiPriority w:val="0"/>
  </w:style>
  <w:style w:type="character" w:customStyle="1" w:styleId="95">
    <w:name w:val="脚注文本 Char1"/>
    <w:semiHidden/>
    <w:qFormat/>
    <w:uiPriority w:val="99"/>
    <w:rPr>
      <w:rFonts w:hint="eastAsia" w:ascii="Times New Roman" w:hAnsi="Times New Roman" w:eastAsia="宋体" w:cs="Times New Roman"/>
      <w:kern w:val="2"/>
      <w:sz w:val="18"/>
      <w:szCs w:val="18"/>
    </w:rPr>
  </w:style>
  <w:style w:type="character" w:customStyle="1" w:styleId="96">
    <w:name w:val="纯文本 Char"/>
    <w:link w:val="23"/>
    <w:qFormat/>
    <w:uiPriority w:val="0"/>
    <w:rPr>
      <w:rFonts w:ascii="宋体" w:hAnsi="Courier New"/>
      <w:kern w:val="2"/>
      <w:sz w:val="21"/>
      <w:szCs w:val="21"/>
    </w:rPr>
  </w:style>
  <w:style w:type="character" w:customStyle="1" w:styleId="97">
    <w:name w:val="可研正文 Char"/>
    <w:link w:val="98"/>
    <w:qFormat/>
    <w:uiPriority w:val="0"/>
    <w:rPr>
      <w:rFonts w:ascii="宋体" w:hAnsi="宋体"/>
      <w:bCs/>
      <w:color w:val="FF0000"/>
      <w:spacing w:val="6"/>
      <w:kern w:val="2"/>
      <w:sz w:val="24"/>
      <w:szCs w:val="28"/>
    </w:rPr>
  </w:style>
  <w:style w:type="paragraph" w:customStyle="1" w:styleId="98">
    <w:name w:val="可研正文"/>
    <w:basedOn w:val="1"/>
    <w:link w:val="97"/>
    <w:qFormat/>
    <w:uiPriority w:val="0"/>
    <w:pPr>
      <w:spacing w:line="500" w:lineRule="exact"/>
      <w:ind w:firstLine="525"/>
    </w:pPr>
    <w:rPr>
      <w:rFonts w:ascii="宋体" w:hAnsi="宋体"/>
      <w:bCs/>
      <w:color w:val="FF0000"/>
      <w:spacing w:val="6"/>
      <w:szCs w:val="28"/>
    </w:rPr>
  </w:style>
  <w:style w:type="character" w:customStyle="1" w:styleId="99">
    <w:name w:val="表头1 字符"/>
    <w:link w:val="100"/>
    <w:qFormat/>
    <w:uiPriority w:val="0"/>
    <w:rPr>
      <w:b/>
      <w:kern w:val="36"/>
      <w:sz w:val="21"/>
      <w:szCs w:val="24"/>
    </w:rPr>
  </w:style>
  <w:style w:type="paragraph" w:customStyle="1" w:styleId="100">
    <w:name w:val="表头1"/>
    <w:basedOn w:val="1"/>
    <w:link w:val="99"/>
    <w:qFormat/>
    <w:uiPriority w:val="0"/>
    <w:pPr>
      <w:adjustRightInd w:val="0"/>
      <w:snapToGrid w:val="0"/>
      <w:spacing w:line="360" w:lineRule="auto"/>
      <w:jc w:val="center"/>
    </w:pPr>
    <w:rPr>
      <w:b/>
      <w:kern w:val="36"/>
      <w:sz w:val="21"/>
    </w:rPr>
  </w:style>
  <w:style w:type="character" w:customStyle="1" w:styleId="101">
    <w:name w:val="表格 Char Char"/>
    <w:qFormat/>
    <w:locked/>
    <w:uiPriority w:val="0"/>
    <w:rPr>
      <w:kern w:val="2"/>
      <w:sz w:val="24"/>
      <w:szCs w:val="24"/>
    </w:rPr>
  </w:style>
  <w:style w:type="character" w:customStyle="1" w:styleId="102">
    <w:name w:val="注释标题 Char1"/>
    <w:semiHidden/>
    <w:qFormat/>
    <w:uiPriority w:val="99"/>
    <w:rPr>
      <w:rFonts w:hint="eastAsia" w:ascii="Times New Roman" w:hAnsi="Times New Roman" w:eastAsia="宋体" w:cs="Times New Roman"/>
      <w:kern w:val="2"/>
      <w:sz w:val="21"/>
    </w:rPr>
  </w:style>
  <w:style w:type="character" w:customStyle="1" w:styleId="103">
    <w:name w:val="副标题 Char"/>
    <w:link w:val="33"/>
    <w:qFormat/>
    <w:uiPriority w:val="0"/>
    <w:rPr>
      <w:rFonts w:eastAsia="黑体"/>
      <w:kern w:val="2"/>
      <w:sz w:val="24"/>
      <w:szCs w:val="24"/>
    </w:rPr>
  </w:style>
  <w:style w:type="character" w:customStyle="1" w:styleId="104">
    <w:name w:val="style181"/>
    <w:qFormat/>
    <w:uiPriority w:val="0"/>
    <w:rPr>
      <w:sz w:val="17"/>
      <w:szCs w:val="17"/>
      <w:u w:val="none"/>
    </w:rPr>
  </w:style>
  <w:style w:type="character" w:customStyle="1" w:styleId="105">
    <w:name w:val="font01"/>
    <w:qFormat/>
    <w:uiPriority w:val="0"/>
    <w:rPr>
      <w:rFonts w:hint="eastAsia" w:ascii="Times New Roman" w:hAnsi="Times New Roman" w:eastAsia="宋体" w:cs="Times New Roman"/>
      <w:color w:val="000000"/>
      <w:sz w:val="21"/>
      <w:szCs w:val="21"/>
      <w:u w:val="none"/>
    </w:rPr>
  </w:style>
  <w:style w:type="character" w:customStyle="1" w:styleId="106">
    <w:name w:val="批注文字 Char1"/>
    <w:semiHidden/>
    <w:qFormat/>
    <w:uiPriority w:val="99"/>
    <w:rPr>
      <w:rFonts w:hint="eastAsia" w:ascii="Times New Roman" w:hAnsi="Times New Roman" w:eastAsia="宋体" w:cs="Times New Roman"/>
      <w:kern w:val="2"/>
      <w:sz w:val="21"/>
    </w:rPr>
  </w:style>
  <w:style w:type="character" w:customStyle="1" w:styleId="107">
    <w:name w:val="正文缩进 Char"/>
    <w:link w:val="2"/>
    <w:qFormat/>
    <w:uiPriority w:val="0"/>
    <w:rPr>
      <w:kern w:val="2"/>
      <w:sz w:val="21"/>
    </w:rPr>
  </w:style>
  <w:style w:type="character" w:customStyle="1" w:styleId="108">
    <w:name w:val="表头2 字符"/>
    <w:link w:val="109"/>
    <w:qFormat/>
    <w:uiPriority w:val="0"/>
    <w:rPr>
      <w:rFonts w:ascii="宋体" w:hAnsi="宋体"/>
      <w:b/>
      <w:bCs/>
      <w:kern w:val="2"/>
      <w:sz w:val="21"/>
      <w:szCs w:val="21"/>
    </w:rPr>
  </w:style>
  <w:style w:type="paragraph" w:customStyle="1" w:styleId="109">
    <w:name w:val="表头2"/>
    <w:basedOn w:val="1"/>
    <w:link w:val="108"/>
    <w:qFormat/>
    <w:uiPriority w:val="0"/>
    <w:pPr>
      <w:adjustRightInd w:val="0"/>
      <w:snapToGrid w:val="0"/>
      <w:spacing w:before="50" w:beforeLines="50" w:line="360" w:lineRule="auto"/>
      <w:jc w:val="center"/>
    </w:pPr>
    <w:rPr>
      <w:rFonts w:ascii="宋体" w:hAnsi="宋体"/>
      <w:b/>
      <w:bCs/>
      <w:szCs w:val="21"/>
    </w:rPr>
  </w:style>
  <w:style w:type="character" w:customStyle="1" w:styleId="110">
    <w:name w:val="split-word"/>
    <w:qFormat/>
    <w:uiPriority w:val="99"/>
  </w:style>
  <w:style w:type="character" w:customStyle="1" w:styleId="111">
    <w:name w:val="fontstyle01"/>
    <w:qFormat/>
    <w:uiPriority w:val="0"/>
    <w:rPr>
      <w:rFonts w:hint="eastAsia" w:ascii="宋体" w:hAnsi="宋体" w:eastAsia="宋体" w:cs="宋体"/>
      <w:color w:val="000000"/>
      <w:sz w:val="22"/>
      <w:szCs w:val="22"/>
    </w:rPr>
  </w:style>
  <w:style w:type="character" w:customStyle="1" w:styleId="112">
    <w:name w:val="脚注文本 Char"/>
    <w:link w:val="35"/>
    <w:qFormat/>
    <w:uiPriority w:val="99"/>
    <w:rPr>
      <w:rFonts w:ascii="Calibri" w:hAnsi="Calibri"/>
    </w:rPr>
  </w:style>
  <w:style w:type="character" w:customStyle="1" w:styleId="113">
    <w:name w:val="批注框文本 Char1"/>
    <w:semiHidden/>
    <w:qFormat/>
    <w:uiPriority w:val="99"/>
    <w:rPr>
      <w:rFonts w:hint="eastAsia" w:ascii="Times New Roman" w:hAnsi="Times New Roman" w:eastAsia="宋体" w:cs="Times New Roman"/>
      <w:kern w:val="2"/>
      <w:sz w:val="18"/>
      <w:szCs w:val="18"/>
    </w:rPr>
  </w:style>
  <w:style w:type="character" w:customStyle="1" w:styleId="114">
    <w:name w:val="副标题 Char1"/>
    <w:qFormat/>
    <w:uiPriority w:val="11"/>
    <w:rPr>
      <w:rFonts w:hint="eastAsia" w:ascii="Calibri Light" w:hAnsi="Calibri Light" w:eastAsia="宋体" w:cs="Times New Roman"/>
      <w:b/>
      <w:bCs/>
      <w:kern w:val="28"/>
      <w:sz w:val="32"/>
      <w:szCs w:val="32"/>
    </w:rPr>
  </w:style>
  <w:style w:type="character" w:customStyle="1" w:styleId="115">
    <w:name w:val="批注主题 Char1"/>
    <w:semiHidden/>
    <w:qFormat/>
    <w:uiPriority w:val="99"/>
    <w:rPr>
      <w:rFonts w:hint="eastAsia" w:ascii="Times New Roman" w:hAnsi="Times New Roman" w:eastAsia="宋体" w:cs="Times New Roman"/>
      <w:b/>
      <w:bCs/>
      <w:kern w:val="2"/>
      <w:sz w:val="21"/>
    </w:rPr>
  </w:style>
  <w:style w:type="character" w:customStyle="1" w:styleId="116">
    <w:name w:val="正文杨 Char"/>
    <w:link w:val="117"/>
    <w:qFormat/>
    <w:uiPriority w:val="0"/>
    <w:rPr>
      <w:kern w:val="2"/>
      <w:sz w:val="24"/>
    </w:rPr>
  </w:style>
  <w:style w:type="paragraph" w:customStyle="1" w:styleId="117">
    <w:name w:val="正文杨"/>
    <w:link w:val="116"/>
    <w:qFormat/>
    <w:uiPriority w:val="0"/>
    <w:pPr>
      <w:adjustRightInd w:val="0"/>
      <w:snapToGrid w:val="0"/>
      <w:spacing w:line="360" w:lineRule="auto"/>
      <w:ind w:firstLine="200" w:firstLineChars="200"/>
      <w:jc w:val="both"/>
    </w:pPr>
    <w:rPr>
      <w:rFonts w:ascii="Times New Roman" w:hAnsi="Times New Roman" w:eastAsia="宋体" w:cs="Times New Roman"/>
      <w:kern w:val="2"/>
      <w:sz w:val="24"/>
      <w:lang w:val="en-US" w:eastAsia="zh-CN" w:bidi="ar-SA"/>
    </w:rPr>
  </w:style>
  <w:style w:type="character" w:customStyle="1" w:styleId="118">
    <w:name w:val="duanluo2"/>
    <w:qFormat/>
    <w:uiPriority w:val="0"/>
    <w:rPr>
      <w:rFonts w:hint="default" w:ascii="ˎ̥" w:hAnsi="ˎ̥"/>
      <w:color w:val="000000"/>
      <w:sz w:val="21"/>
      <w:szCs w:val="21"/>
    </w:rPr>
  </w:style>
  <w:style w:type="character" w:customStyle="1" w:styleId="119">
    <w:name w:val="正文首行缩进 2 Char1"/>
    <w:semiHidden/>
    <w:qFormat/>
    <w:uiPriority w:val="99"/>
    <w:rPr>
      <w:kern w:val="2"/>
      <w:sz w:val="21"/>
    </w:rPr>
  </w:style>
  <w:style w:type="character" w:customStyle="1" w:styleId="120">
    <w:name w:val="文字缩进 Char"/>
    <w:qFormat/>
    <w:uiPriority w:val="0"/>
    <w:rPr>
      <w:rFonts w:ascii="宋体" w:hAnsi="Courier New" w:eastAsia="宋体"/>
      <w:kern w:val="2"/>
      <w:sz w:val="21"/>
      <w:lang w:val="en-US" w:eastAsia="zh-CN" w:bidi="ar-SA"/>
    </w:rPr>
  </w:style>
  <w:style w:type="character" w:customStyle="1" w:styleId="121">
    <w:name w:val="f14text1"/>
    <w:qFormat/>
    <w:uiPriority w:val="0"/>
    <w:rPr>
      <w:sz w:val="17"/>
      <w:szCs w:val="17"/>
    </w:rPr>
  </w:style>
  <w:style w:type="character" w:customStyle="1" w:styleId="122">
    <w:name w:val="热电厂正文 Char"/>
    <w:link w:val="123"/>
    <w:qFormat/>
    <w:uiPriority w:val="0"/>
    <w:rPr>
      <w:kern w:val="2"/>
      <w:sz w:val="24"/>
    </w:rPr>
  </w:style>
  <w:style w:type="paragraph" w:customStyle="1" w:styleId="123">
    <w:name w:val="热电厂正文"/>
    <w:basedOn w:val="1"/>
    <w:link w:val="122"/>
    <w:qFormat/>
    <w:uiPriority w:val="0"/>
    <w:pPr>
      <w:spacing w:line="440" w:lineRule="exact"/>
      <w:ind w:firstLine="480" w:firstLineChars="200"/>
    </w:pPr>
    <w:rPr>
      <w:szCs w:val="20"/>
    </w:rPr>
  </w:style>
  <w:style w:type="character" w:customStyle="1" w:styleId="124">
    <w:name w:val="f241"/>
    <w:qFormat/>
    <w:uiPriority w:val="0"/>
    <w:rPr>
      <w:sz w:val="36"/>
      <w:szCs w:val="36"/>
    </w:rPr>
  </w:style>
  <w:style w:type="character" w:customStyle="1" w:styleId="125">
    <w:name w:val="不明显强调1"/>
    <w:qFormat/>
    <w:uiPriority w:val="19"/>
    <w:rPr>
      <w:rFonts w:hint="eastAsia" w:ascii="Times New Roman" w:hAnsi="Times New Roman" w:eastAsia="宋体" w:cs="Times New Roman"/>
      <w:i/>
      <w:iCs/>
    </w:rPr>
  </w:style>
  <w:style w:type="character" w:customStyle="1" w:styleId="126">
    <w:name w:val="表格样式 Char"/>
    <w:link w:val="127"/>
    <w:qFormat/>
    <w:uiPriority w:val="0"/>
    <w:rPr>
      <w:b/>
      <w:kern w:val="2"/>
      <w:sz w:val="21"/>
      <w:szCs w:val="24"/>
    </w:rPr>
  </w:style>
  <w:style w:type="paragraph" w:customStyle="1" w:styleId="127">
    <w:name w:val="表格样式"/>
    <w:basedOn w:val="1"/>
    <w:link w:val="126"/>
    <w:qFormat/>
    <w:uiPriority w:val="0"/>
    <w:pPr>
      <w:jc w:val="center"/>
    </w:pPr>
    <w:rPr>
      <w:b/>
    </w:rPr>
  </w:style>
  <w:style w:type="character" w:customStyle="1" w:styleId="128">
    <w:name w:val="font11"/>
    <w:qFormat/>
    <w:uiPriority w:val="0"/>
    <w:rPr>
      <w:rFonts w:hint="eastAsia" w:ascii="宋体" w:hAnsi="宋体" w:eastAsia="宋体" w:cs="宋体"/>
      <w:color w:val="000000"/>
      <w:sz w:val="21"/>
      <w:szCs w:val="21"/>
      <w:u w:val="none"/>
    </w:rPr>
  </w:style>
  <w:style w:type="character" w:customStyle="1" w:styleId="129">
    <w:name w:val="正文首行缩进 2 Char"/>
    <w:link w:val="49"/>
    <w:qFormat/>
    <w:uiPriority w:val="99"/>
    <w:rPr>
      <w:kern w:val="2"/>
      <w:sz w:val="21"/>
      <w:szCs w:val="24"/>
      <w:lang w:val="en-GB" w:eastAsia="zh-TW"/>
    </w:rPr>
  </w:style>
  <w:style w:type="character" w:customStyle="1" w:styleId="130">
    <w:name w:val="未处理的提及1"/>
    <w:unhideWhenUsed/>
    <w:qFormat/>
    <w:uiPriority w:val="99"/>
    <w:rPr>
      <w:color w:val="605E5C"/>
      <w:shd w:val="clear" w:color="auto" w:fill="E1DFDD"/>
    </w:rPr>
  </w:style>
  <w:style w:type="character" w:customStyle="1" w:styleId="131">
    <w:name w:val="纯文本 Char1"/>
    <w:basedOn w:val="53"/>
    <w:qFormat/>
    <w:uiPriority w:val="0"/>
    <w:rPr>
      <w:rFonts w:ascii="宋体" w:hAnsi="Courier New" w:cs="Courier New"/>
      <w:kern w:val="2"/>
      <w:sz w:val="21"/>
      <w:szCs w:val="21"/>
    </w:rPr>
  </w:style>
  <w:style w:type="character" w:customStyle="1" w:styleId="132">
    <w:name w:val="注释标题 Char2"/>
    <w:basedOn w:val="53"/>
    <w:qFormat/>
    <w:uiPriority w:val="0"/>
    <w:rPr>
      <w:kern w:val="2"/>
      <w:sz w:val="21"/>
      <w:szCs w:val="24"/>
    </w:rPr>
  </w:style>
  <w:style w:type="character" w:customStyle="1" w:styleId="133">
    <w:name w:val="正文文本缩进 2 Char"/>
    <w:basedOn w:val="53"/>
    <w:link w:val="27"/>
    <w:qFormat/>
    <w:uiPriority w:val="0"/>
    <w:rPr>
      <w:rFonts w:ascii="宋体" w:hAnsi="宋体"/>
      <w:kern w:val="2"/>
      <w:sz w:val="24"/>
    </w:rPr>
  </w:style>
  <w:style w:type="character" w:customStyle="1" w:styleId="134">
    <w:name w:val="文档结构图 Char"/>
    <w:basedOn w:val="53"/>
    <w:link w:val="13"/>
    <w:qFormat/>
    <w:uiPriority w:val="0"/>
    <w:rPr>
      <w:kern w:val="2"/>
      <w:sz w:val="21"/>
      <w:szCs w:val="24"/>
      <w:shd w:val="clear" w:color="auto" w:fill="000080"/>
      <w:lang w:val="en-GB" w:eastAsia="zh-TW"/>
    </w:rPr>
  </w:style>
  <w:style w:type="character" w:customStyle="1" w:styleId="135">
    <w:name w:val="副标题 Char2"/>
    <w:basedOn w:val="53"/>
    <w:qFormat/>
    <w:uiPriority w:val="0"/>
    <w:rPr>
      <w:rFonts w:asciiTheme="majorHAnsi" w:hAnsiTheme="majorHAnsi" w:cstheme="majorBidi"/>
      <w:b/>
      <w:bCs/>
      <w:kern w:val="28"/>
      <w:sz w:val="32"/>
      <w:szCs w:val="32"/>
    </w:rPr>
  </w:style>
  <w:style w:type="character" w:customStyle="1" w:styleId="136">
    <w:name w:val="脚注文本 Char2"/>
    <w:basedOn w:val="53"/>
    <w:qFormat/>
    <w:uiPriority w:val="0"/>
    <w:rPr>
      <w:kern w:val="2"/>
      <w:sz w:val="18"/>
      <w:szCs w:val="18"/>
    </w:rPr>
  </w:style>
  <w:style w:type="character" w:customStyle="1" w:styleId="137">
    <w:name w:val="正文文本缩进 3 Char"/>
    <w:basedOn w:val="53"/>
    <w:link w:val="37"/>
    <w:qFormat/>
    <w:uiPriority w:val="99"/>
    <w:rPr>
      <w:kern w:val="2"/>
      <w:sz w:val="16"/>
      <w:szCs w:val="16"/>
      <w:lang w:val="en-GB" w:eastAsia="zh-TW"/>
    </w:rPr>
  </w:style>
  <w:style w:type="character" w:customStyle="1" w:styleId="138">
    <w:name w:val="正文首行缩进 2 Char2"/>
    <w:basedOn w:val="67"/>
    <w:qFormat/>
    <w:uiPriority w:val="0"/>
    <w:rPr>
      <w:rFonts w:ascii="Times New Roman" w:hAnsi="Times New Roman" w:eastAsia="宋体"/>
      <w:kern w:val="2"/>
      <w:sz w:val="21"/>
      <w:szCs w:val="24"/>
    </w:rPr>
  </w:style>
  <w:style w:type="character" w:customStyle="1" w:styleId="139">
    <w:name w:val="HTML 预设格式 Char"/>
    <w:basedOn w:val="53"/>
    <w:link w:val="43"/>
    <w:qFormat/>
    <w:uiPriority w:val="0"/>
    <w:rPr>
      <w:rFonts w:ascii="宋体" w:hAnsi="宋体" w:cs="宋体"/>
      <w:sz w:val="24"/>
      <w:szCs w:val="24"/>
    </w:rPr>
  </w:style>
  <w:style w:type="paragraph" w:customStyle="1" w:styleId="140">
    <w:name w:val="xl24"/>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141">
    <w:name w:val="默认段落字体 Para Char"/>
    <w:basedOn w:val="1"/>
    <w:next w:val="1"/>
    <w:qFormat/>
    <w:uiPriority w:val="0"/>
    <w:pPr>
      <w:spacing w:line="360" w:lineRule="auto"/>
      <w:ind w:firstLine="200" w:firstLineChars="200"/>
    </w:pPr>
  </w:style>
  <w:style w:type="paragraph" w:customStyle="1" w:styleId="142">
    <w:name w:val="表内式样"/>
    <w:qFormat/>
    <w:uiPriority w:val="0"/>
    <w:pPr>
      <w:widowControl w:val="0"/>
      <w:jc w:val="center"/>
    </w:pPr>
    <w:rPr>
      <w:rFonts w:ascii="黑体" w:hAnsi="Times New Roman" w:eastAsia="黑体" w:cs="Times New Roman"/>
      <w:color w:val="000000"/>
      <w:kern w:val="2"/>
      <w:sz w:val="18"/>
      <w:szCs w:val="24"/>
      <w:lang w:val="en-US" w:eastAsia="zh-CN" w:bidi="ar-SA"/>
    </w:rPr>
  </w:style>
  <w:style w:type="paragraph" w:customStyle="1" w:styleId="143">
    <w:name w:val="样式1"/>
    <w:basedOn w:val="7"/>
    <w:qFormat/>
    <w:uiPriority w:val="0"/>
    <w:pPr>
      <w:keepNext w:val="0"/>
      <w:keepLines w:val="0"/>
      <w:spacing w:before="0" w:after="0" w:line="360" w:lineRule="auto"/>
      <w:ind w:firstLine="560"/>
      <w:jc w:val="center"/>
      <w:outlineLvl w:val="9"/>
    </w:pPr>
    <w:rPr>
      <w:rFonts w:ascii="宋体" w:hAnsi="宋体"/>
      <w:b w:val="0"/>
      <w:bCs w:val="0"/>
      <w:color w:val="FF0000"/>
      <w:sz w:val="24"/>
      <w:szCs w:val="24"/>
      <w:lang w:val="en-US" w:eastAsia="zh-CN"/>
    </w:rPr>
  </w:style>
  <w:style w:type="paragraph" w:styleId="144">
    <w:name w:val="List Paragraph"/>
    <w:basedOn w:val="1"/>
    <w:qFormat/>
    <w:uiPriority w:val="34"/>
    <w:pPr>
      <w:ind w:firstLine="420" w:firstLineChars="200"/>
    </w:pPr>
    <w:rPr>
      <w:rFonts w:hint="eastAsia"/>
      <w:szCs w:val="20"/>
    </w:rPr>
  </w:style>
  <w:style w:type="paragraph" w:customStyle="1" w:styleId="145">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6">
    <w:name w:val="Decimal Aligned"/>
    <w:basedOn w:val="1"/>
    <w:qFormat/>
    <w:uiPriority w:val="40"/>
    <w:pPr>
      <w:widowControl/>
      <w:tabs>
        <w:tab w:val="decimal" w:pos="360"/>
      </w:tabs>
      <w:spacing w:after="200" w:line="276" w:lineRule="auto"/>
      <w:jc w:val="left"/>
    </w:pPr>
    <w:rPr>
      <w:rFonts w:ascii="Calibri" w:hAnsi="Calibri"/>
      <w:kern w:val="0"/>
      <w:sz w:val="22"/>
      <w:szCs w:val="22"/>
    </w:rPr>
  </w:style>
  <w:style w:type="paragraph" w:customStyle="1" w:styleId="147">
    <w:name w:val="Char Char Char Char Char Char Char Char Char1 Char Char Char Char Char Char Char Char Char Char Char Char Char"/>
    <w:basedOn w:val="3"/>
    <w:qFormat/>
    <w:uiPriority w:val="0"/>
    <w:pPr>
      <w:keepLines/>
      <w:tabs>
        <w:tab w:val="left" w:pos="425"/>
      </w:tabs>
      <w:overflowPunct/>
      <w:spacing w:before="240" w:after="240" w:line="348" w:lineRule="auto"/>
      <w:ind w:left="0" w:firstLine="0"/>
    </w:pPr>
    <w:rPr>
      <w:rFonts w:ascii="Tahoma" w:hAnsi="Tahoma" w:eastAsia="宋体"/>
      <w:bCs w:val="0"/>
      <w:color w:val="auto"/>
      <w:kern w:val="2"/>
      <w:sz w:val="24"/>
      <w:szCs w:val="20"/>
    </w:rPr>
  </w:style>
  <w:style w:type="paragraph" w:customStyle="1" w:styleId="148">
    <w:name w:val="正文11"/>
    <w:basedOn w:val="1"/>
    <w:qFormat/>
    <w:uiPriority w:val="0"/>
    <w:pPr>
      <w:adjustRightInd w:val="0"/>
      <w:snapToGrid w:val="0"/>
      <w:spacing w:line="360" w:lineRule="auto"/>
    </w:pPr>
    <w:rPr>
      <w:rFonts w:ascii="宋体" w:hAnsi="宋体"/>
    </w:rPr>
  </w:style>
  <w:style w:type="paragraph" w:customStyle="1" w:styleId="149">
    <w:name w:val="Char Char1 Char Char Char Char1"/>
    <w:basedOn w:val="1"/>
    <w:qFormat/>
    <w:uiPriority w:val="0"/>
    <w:pPr>
      <w:spacing w:after="160" w:line="240" w:lineRule="exact"/>
      <w:ind w:firstLine="200" w:firstLineChars="200"/>
    </w:pPr>
    <w:rPr>
      <w:rFonts w:ascii="Verdana" w:hAnsi="Verdana" w:cs="Verdana"/>
      <w:sz w:val="20"/>
      <w:szCs w:val="28"/>
      <w:lang w:eastAsia="en-US"/>
    </w:rPr>
  </w:style>
  <w:style w:type="paragraph" w:customStyle="1" w:styleId="150">
    <w:name w:val="Char Char Char Char Char Char Char Char Char Char Char Char Char Char Char Char"/>
    <w:basedOn w:val="1"/>
    <w:next w:val="49"/>
    <w:qFormat/>
    <w:uiPriority w:val="0"/>
    <w:pPr>
      <w:tabs>
        <w:tab w:val="left" w:pos="360"/>
      </w:tabs>
      <w:ind w:firstLine="560" w:firstLineChars="200"/>
    </w:pPr>
    <w:rPr>
      <w:rFonts w:ascii="仿宋_GB2312" w:eastAsia="仿宋_GB2312"/>
      <w:sz w:val="28"/>
      <w:szCs w:val="21"/>
    </w:rPr>
  </w:style>
  <w:style w:type="paragraph" w:customStyle="1" w:styleId="151">
    <w:name w:val="表头"/>
    <w:basedOn w:val="1"/>
    <w:qFormat/>
    <w:uiPriority w:val="0"/>
    <w:pPr>
      <w:adjustRightInd w:val="0"/>
      <w:spacing w:before="80" w:after="80" w:line="360" w:lineRule="auto"/>
      <w:jc w:val="center"/>
    </w:pPr>
    <w:rPr>
      <w:rFonts w:hint="eastAsia" w:ascii="仿宋_GB2312" w:eastAsia="仿宋_GB2312"/>
      <w:kern w:val="0"/>
      <w:szCs w:val="20"/>
    </w:rPr>
  </w:style>
  <w:style w:type="paragraph" w:customStyle="1" w:styleId="152">
    <w:name w:val="Char5"/>
    <w:basedOn w:val="1"/>
    <w:qFormat/>
    <w:uiPriority w:val="0"/>
    <w:pPr>
      <w:widowControl/>
      <w:spacing w:after="160" w:line="240" w:lineRule="exact"/>
      <w:jc w:val="left"/>
    </w:pPr>
    <w:rPr>
      <w:rFonts w:ascii="Arial" w:hAnsi="Arial" w:eastAsia="Times New Roman" w:cs="Verdana"/>
      <w:b/>
      <w:kern w:val="0"/>
      <w:lang w:eastAsia="en-US"/>
    </w:rPr>
  </w:style>
  <w:style w:type="paragraph" w:customStyle="1" w:styleId="153">
    <w:name w:val="char"/>
    <w:basedOn w:val="1"/>
    <w:qFormat/>
    <w:uiPriority w:val="0"/>
    <w:pPr>
      <w:widowControl/>
      <w:spacing w:after="160" w:line="240" w:lineRule="exact"/>
      <w:jc w:val="left"/>
    </w:pPr>
    <w:rPr>
      <w:rFonts w:ascii="Verdana" w:hAnsi="Verdana" w:eastAsia="仿宋_GB2312" w:cs="”“Times New Roman”“"/>
      <w:kern w:val="0"/>
      <w:szCs w:val="20"/>
      <w:lang w:eastAsia="en-US"/>
    </w:rPr>
  </w:style>
  <w:style w:type="paragraph" w:customStyle="1" w:styleId="154">
    <w:name w:val="Char4"/>
    <w:basedOn w:val="1"/>
    <w:qFormat/>
    <w:uiPriority w:val="0"/>
    <w:rPr>
      <w:szCs w:val="21"/>
    </w:rPr>
  </w:style>
  <w:style w:type="paragraph" w:customStyle="1" w:styleId="155">
    <w:name w:val="表格填充1"/>
    <w:basedOn w:val="23"/>
    <w:qFormat/>
    <w:uiPriority w:val="0"/>
    <w:pPr>
      <w:snapToGrid w:val="0"/>
    </w:pPr>
    <w:rPr>
      <w:rFonts w:ascii="Times New Roman" w:hAnsi="Times New Roman"/>
      <w:snapToGrid w:val="0"/>
      <w:sz w:val="28"/>
      <w:szCs w:val="20"/>
    </w:rPr>
  </w:style>
  <w:style w:type="paragraph" w:customStyle="1" w:styleId="156">
    <w:name w:val="Char Char Char Char"/>
    <w:basedOn w:val="1"/>
    <w:qFormat/>
    <w:uiPriority w:val="0"/>
  </w:style>
  <w:style w:type="paragraph" w:customStyle="1" w:styleId="157">
    <w:name w:val="默认段落字体 Para Char Char Char Char Char Char Char"/>
    <w:basedOn w:val="1"/>
    <w:qFormat/>
    <w:uiPriority w:val="0"/>
    <w:rPr>
      <w:szCs w:val="20"/>
      <w:lang w:val="en-GB" w:eastAsia="zh-TW"/>
    </w:rPr>
  </w:style>
  <w:style w:type="paragraph" w:customStyle="1" w:styleId="158">
    <w:name w:val="Table Paragraph"/>
    <w:basedOn w:val="1"/>
    <w:qFormat/>
    <w:uiPriority w:val="6"/>
    <w:pPr>
      <w:autoSpaceDE w:val="0"/>
      <w:autoSpaceDN w:val="0"/>
      <w:jc w:val="left"/>
    </w:pPr>
    <w:rPr>
      <w:rFonts w:ascii="宋体" w:hAnsi="宋体" w:cs="宋体"/>
      <w:kern w:val="0"/>
      <w:sz w:val="22"/>
      <w:szCs w:val="22"/>
      <w:lang w:val="zh-CN" w:bidi="zh-CN"/>
    </w:rPr>
  </w:style>
  <w:style w:type="paragraph" w:customStyle="1" w:styleId="159">
    <w:name w:val="默认段落字体 Para Char Char Char Char Char Char Char Char Char Char"/>
    <w:basedOn w:val="5"/>
    <w:qFormat/>
    <w:uiPriority w:val="0"/>
    <w:pPr>
      <w:tabs>
        <w:tab w:val="left" w:pos="360"/>
        <w:tab w:val="left" w:pos="900"/>
      </w:tabs>
      <w:snapToGrid w:val="0"/>
      <w:spacing w:before="120" w:after="120" w:line="440" w:lineRule="exact"/>
      <w:ind w:left="542" w:leftChars="-12" w:firstLine="200" w:firstLineChars="200"/>
      <w:jc w:val="left"/>
    </w:pPr>
    <w:rPr>
      <w:rFonts w:eastAsia="黑体"/>
      <w:b w:val="0"/>
      <w:bCs w:val="0"/>
      <w:snapToGrid w:val="0"/>
      <w:sz w:val="24"/>
      <w:szCs w:val="24"/>
    </w:rPr>
  </w:style>
  <w:style w:type="paragraph" w:customStyle="1" w:styleId="160">
    <w:name w:val="style21"/>
    <w:basedOn w:val="1"/>
    <w:qFormat/>
    <w:uiPriority w:val="0"/>
    <w:pPr>
      <w:widowControl/>
      <w:spacing w:before="100" w:beforeAutospacing="1" w:after="100" w:afterAutospacing="1"/>
      <w:jc w:val="left"/>
    </w:pPr>
    <w:rPr>
      <w:rFonts w:ascii="宋体" w:hAnsi="宋体" w:cs="宋体"/>
      <w:kern w:val="0"/>
    </w:rPr>
  </w:style>
  <w:style w:type="paragraph" w:customStyle="1" w:styleId="161">
    <w:name w:val="默认段落字体 Para Char Char Char Char"/>
    <w:basedOn w:val="1"/>
    <w:qFormat/>
    <w:uiPriority w:val="0"/>
  </w:style>
  <w:style w:type="paragraph" w:customStyle="1" w:styleId="162">
    <w:name w:val="正式排版"/>
    <w:basedOn w:val="1"/>
    <w:qFormat/>
    <w:uiPriority w:val="0"/>
    <w:pPr>
      <w:snapToGrid w:val="0"/>
      <w:spacing w:line="600" w:lineRule="exact"/>
      <w:ind w:firstLine="607"/>
    </w:pPr>
    <w:rPr>
      <w:rFonts w:eastAsia="仿宋_GB2312"/>
      <w:snapToGrid w:val="0"/>
      <w:kern w:val="0"/>
      <w:sz w:val="30"/>
      <w:szCs w:val="16"/>
    </w:rPr>
  </w:style>
  <w:style w:type="paragraph" w:customStyle="1" w:styleId="163">
    <w:name w:val="编制说明"/>
    <w:basedOn w:val="1"/>
    <w:qFormat/>
    <w:uiPriority w:val="0"/>
    <w:pPr>
      <w:topLinePunct/>
      <w:adjustRightInd w:val="0"/>
      <w:snapToGrid w:val="0"/>
      <w:spacing w:line="360" w:lineRule="auto"/>
      <w:ind w:firstLine="420"/>
    </w:pPr>
    <w:rPr>
      <w:rFonts w:eastAsia="仿宋_GB2312"/>
      <w:szCs w:val="20"/>
    </w:rPr>
  </w:style>
  <w:style w:type="paragraph" w:customStyle="1" w:styleId="164">
    <w:name w:val="编制说明头"/>
    <w:basedOn w:val="4"/>
    <w:qFormat/>
    <w:uiPriority w:val="0"/>
    <w:pPr>
      <w:keepNext w:val="0"/>
      <w:keepLines w:val="0"/>
      <w:pageBreakBefore/>
      <w:topLinePunct/>
      <w:adjustRightInd w:val="0"/>
      <w:snapToGrid w:val="0"/>
      <w:spacing w:before="360" w:after="960" w:line="240" w:lineRule="auto"/>
      <w:jc w:val="center"/>
    </w:pPr>
    <w:rPr>
      <w:rFonts w:eastAsia="方正报宋简体"/>
      <w:bCs w:val="0"/>
      <w:sz w:val="28"/>
      <w:szCs w:val="20"/>
      <w:lang w:val="en-US" w:eastAsia="zh-CN"/>
    </w:rPr>
  </w:style>
  <w:style w:type="paragraph" w:customStyle="1" w:styleId="165">
    <w:name w:val="Char"/>
    <w:basedOn w:val="1"/>
    <w:qFormat/>
    <w:uiPriority w:val="0"/>
    <w:pPr>
      <w:spacing w:line="360" w:lineRule="auto"/>
      <w:ind w:firstLine="200" w:firstLineChars="200"/>
    </w:pPr>
    <w:rPr>
      <w:rFonts w:ascii="宋体" w:hAnsi="宋体" w:cs="宋体"/>
    </w:rPr>
  </w:style>
  <w:style w:type="paragraph" w:customStyle="1" w:styleId="166">
    <w:name w:val="Char Char Char Char Char Char Char Char Char1 Char Char Char Char Char Char2 Char Char Char1 Char"/>
    <w:basedOn w:val="13"/>
    <w:qFormat/>
    <w:uiPriority w:val="0"/>
    <w:pPr>
      <w:spacing w:before="50" w:beforeLines="50" w:after="50" w:afterLines="50" w:line="360" w:lineRule="auto"/>
    </w:pPr>
    <w:rPr>
      <w:rFonts w:ascii="Tahoma" w:hAnsi="Tahoma"/>
      <w:lang w:val="en-US" w:eastAsia="zh-CN"/>
    </w:rPr>
  </w:style>
  <w:style w:type="paragraph" w:customStyle="1" w:styleId="167">
    <w:name w:val="Char Char Char Char Char Char Char Char Char Char Char Char1 Char"/>
    <w:basedOn w:val="1"/>
    <w:qFormat/>
    <w:uiPriority w:val="0"/>
    <w:pPr>
      <w:spacing w:line="360" w:lineRule="auto"/>
      <w:ind w:firstLine="200" w:firstLineChars="200"/>
    </w:pPr>
    <w:rPr>
      <w:szCs w:val="20"/>
    </w:rPr>
  </w:style>
  <w:style w:type="paragraph" w:customStyle="1" w:styleId="168">
    <w:name w:val="表格格式"/>
    <w:basedOn w:val="1"/>
    <w:next w:val="2"/>
    <w:qFormat/>
    <w:uiPriority w:val="0"/>
    <w:pPr>
      <w:spacing w:line="360" w:lineRule="exact"/>
      <w:jc w:val="center"/>
    </w:pPr>
    <w:rPr>
      <w:szCs w:val="20"/>
    </w:rPr>
  </w:style>
  <w:style w:type="paragraph" w:customStyle="1" w:styleId="169">
    <w:name w:val="Char Char Char Char Char Char Char"/>
    <w:basedOn w:val="1"/>
    <w:qFormat/>
    <w:uiPriority w:val="0"/>
    <w:rPr>
      <w:szCs w:val="20"/>
    </w:rPr>
  </w:style>
  <w:style w:type="paragraph" w:customStyle="1" w:styleId="170">
    <w:name w:val="Char Char Char"/>
    <w:basedOn w:val="1"/>
    <w:qFormat/>
    <w:uiPriority w:val="0"/>
    <w:rPr>
      <w:bCs/>
      <w:lang w:eastAsia="en-US"/>
    </w:rPr>
  </w:style>
  <w:style w:type="paragraph" w:customStyle="1" w:styleId="171">
    <w:name w:val="15.2.1"/>
    <w:basedOn w:val="5"/>
    <w:qFormat/>
    <w:uiPriority w:val="0"/>
    <w:pPr>
      <w:keepNext w:val="0"/>
      <w:keepLines w:val="0"/>
      <w:tabs>
        <w:tab w:val="left" w:pos="360"/>
        <w:tab w:val="left" w:pos="425"/>
        <w:tab w:val="left" w:pos="709"/>
        <w:tab w:val="left" w:pos="1080"/>
      </w:tabs>
      <w:adjustRightInd w:val="0"/>
      <w:snapToGrid w:val="0"/>
      <w:spacing w:before="312" w:beforeLines="100" w:after="0" w:line="360" w:lineRule="auto"/>
      <w:ind w:firstLine="200" w:firstLineChars="200"/>
      <w:jc w:val="left"/>
    </w:pPr>
    <w:rPr>
      <w:bCs w:val="0"/>
      <w:snapToGrid w:val="0"/>
      <w:color w:val="0000FF"/>
      <w:sz w:val="28"/>
      <w:szCs w:val="28"/>
    </w:rPr>
  </w:style>
  <w:style w:type="paragraph" w:customStyle="1" w:styleId="172">
    <w:name w:val="Char1"/>
    <w:basedOn w:val="1"/>
    <w:qFormat/>
    <w:uiPriority w:val="0"/>
    <w:pPr>
      <w:spacing w:line="360" w:lineRule="auto"/>
      <w:ind w:firstLine="200" w:firstLineChars="200"/>
    </w:pPr>
    <w:rPr>
      <w:rFonts w:ascii="宋体" w:hAnsi="宋体" w:cs="宋体"/>
    </w:rPr>
  </w:style>
  <w:style w:type="paragraph" w:customStyle="1" w:styleId="173">
    <w:name w:val="Char Char Char Char Char Char Char Char Char Char Char Char1 Char Char Char Char Char Char Char Char Char Char"/>
    <w:basedOn w:val="1"/>
    <w:qFormat/>
    <w:uiPriority w:val="0"/>
    <w:pPr>
      <w:widowControl/>
      <w:spacing w:after="160" w:line="240" w:lineRule="exact"/>
      <w:jc w:val="left"/>
    </w:pPr>
    <w:rPr>
      <w:rFonts w:ascii="Verdana" w:hAnsi="Verdana" w:eastAsia="仿宋_GB2312"/>
      <w:kern w:val="0"/>
      <w:szCs w:val="20"/>
      <w:lang w:eastAsia="en-US"/>
    </w:rPr>
  </w:style>
  <w:style w:type="paragraph" w:customStyle="1" w:styleId="174">
    <w:name w:val="Char Char Char Char Char Char Char Char Char1 Char Char Char Char Char Char Char Char Char Char Char Char Char Char Char Char"/>
    <w:basedOn w:val="3"/>
    <w:qFormat/>
    <w:uiPriority w:val="0"/>
    <w:pPr>
      <w:keepLines/>
      <w:tabs>
        <w:tab w:val="left" w:pos="425"/>
      </w:tabs>
      <w:overflowPunct/>
      <w:spacing w:before="240" w:after="240" w:line="348" w:lineRule="auto"/>
      <w:ind w:left="0" w:firstLine="0"/>
    </w:pPr>
    <w:rPr>
      <w:rFonts w:ascii="Tahoma" w:hAnsi="Tahoma" w:eastAsia="宋体"/>
      <w:bCs w:val="0"/>
      <w:color w:val="auto"/>
      <w:kern w:val="2"/>
      <w:sz w:val="24"/>
      <w:szCs w:val="20"/>
    </w:rPr>
  </w:style>
  <w:style w:type="paragraph" w:customStyle="1" w:styleId="175">
    <w:name w:val="表格文字"/>
    <w:basedOn w:val="1"/>
    <w:next w:val="1"/>
    <w:qFormat/>
    <w:uiPriority w:val="0"/>
    <w:pPr>
      <w:spacing w:before="30" w:beforeLines="30" w:after="30" w:afterLines="30"/>
      <w:jc w:val="center"/>
    </w:pPr>
    <w:rPr>
      <w:spacing w:val="10"/>
      <w:kern w:val="0"/>
      <w:szCs w:val="21"/>
    </w:rPr>
  </w:style>
  <w:style w:type="paragraph" w:customStyle="1" w:styleId="176">
    <w:name w:val="11"/>
    <w:basedOn w:val="1"/>
    <w:qFormat/>
    <w:uiPriority w:val="0"/>
    <w:pPr>
      <w:widowControl/>
      <w:spacing w:before="100" w:beforeAutospacing="1" w:after="100" w:afterAutospacing="1"/>
      <w:jc w:val="left"/>
    </w:pPr>
    <w:rPr>
      <w:rFonts w:ascii="宋体" w:hAnsi="宋体" w:cs="宋体"/>
      <w:kern w:val="0"/>
    </w:rPr>
  </w:style>
  <w:style w:type="paragraph" w:customStyle="1" w:styleId="177">
    <w:name w:val="Char Char Char Char Char Char Char Char Char Char"/>
    <w:basedOn w:val="1"/>
    <w:qFormat/>
    <w:uiPriority w:val="0"/>
    <w:rPr>
      <w:rFonts w:ascii="黑体" w:hAnsi="黑体" w:eastAsia="黑体"/>
      <w:b/>
      <w:spacing w:val="10"/>
      <w:sz w:val="28"/>
      <w:szCs w:val="20"/>
    </w:rPr>
  </w:style>
  <w:style w:type="paragraph" w:customStyle="1" w:styleId="178">
    <w:name w:val="表格内容"/>
    <w:qFormat/>
    <w:uiPriority w:val="0"/>
    <w:pPr>
      <w:adjustRightInd w:val="0"/>
      <w:snapToGrid w:val="0"/>
      <w:jc w:val="center"/>
    </w:pPr>
    <w:rPr>
      <w:rFonts w:ascii="Times New Roman" w:hAnsi="Times New Roman" w:eastAsia="宋体" w:cs="Times New Roman"/>
      <w:color w:val="000000"/>
      <w:sz w:val="21"/>
      <w:szCs w:val="24"/>
      <w:lang w:val="en-US" w:eastAsia="zh-CN" w:bidi="ar-SA"/>
    </w:rPr>
  </w:style>
  <w:style w:type="paragraph" w:customStyle="1" w:styleId="179">
    <w:name w:val="列出段落1"/>
    <w:basedOn w:val="1"/>
    <w:qFormat/>
    <w:uiPriority w:val="0"/>
    <w:pPr>
      <w:widowControl/>
      <w:spacing w:after="200" w:line="276" w:lineRule="auto"/>
      <w:ind w:left="720"/>
      <w:contextualSpacing/>
      <w:jc w:val="left"/>
    </w:pPr>
    <w:rPr>
      <w:rFonts w:hint="eastAsia" w:ascii="Calibri" w:hAnsi="Calibri"/>
      <w:kern w:val="0"/>
      <w:sz w:val="22"/>
      <w:szCs w:val="22"/>
      <w:lang w:eastAsia="en-US" w:bidi="en-US"/>
    </w:rPr>
  </w:style>
  <w:style w:type="paragraph" w:customStyle="1" w:styleId="180">
    <w:name w:val="Char Char Char Char Char Char"/>
    <w:basedOn w:val="1"/>
    <w:qFormat/>
    <w:uiPriority w:val="0"/>
    <w:pPr>
      <w:jc w:val="center"/>
    </w:pPr>
    <w:rPr>
      <w:rFonts w:hint="eastAsia"/>
      <w:szCs w:val="20"/>
    </w:rPr>
  </w:style>
  <w:style w:type="paragraph" w:customStyle="1" w:styleId="181">
    <w:name w:val="王正文"/>
    <w:basedOn w:val="19"/>
    <w:qFormat/>
    <w:uiPriority w:val="0"/>
    <w:pPr>
      <w:adjustRightInd w:val="0"/>
      <w:snapToGrid w:val="0"/>
      <w:spacing w:after="0" w:line="560" w:lineRule="exact"/>
      <w:ind w:left="0" w:leftChars="0" w:firstLine="200" w:firstLineChars="200"/>
      <w:jc w:val="left"/>
    </w:pPr>
    <w:rPr>
      <w:rFonts w:hint="eastAsia"/>
      <w:color w:val="000000"/>
      <w:kern w:val="2"/>
    </w:rPr>
  </w:style>
  <w:style w:type="paragraph" w:customStyle="1" w:styleId="182">
    <w:name w:val="修订1"/>
    <w:qFormat/>
    <w:uiPriority w:val="99"/>
    <w:rPr>
      <w:rFonts w:ascii="Times New Roman" w:hAnsi="Times New Roman" w:eastAsia="宋体" w:cs="Times New Roman"/>
      <w:kern w:val="2"/>
      <w:sz w:val="21"/>
      <w:lang w:val="en-US" w:eastAsia="zh-CN" w:bidi="ar-SA"/>
    </w:rPr>
  </w:style>
  <w:style w:type="paragraph" w:customStyle="1" w:styleId="183">
    <w:name w:val="样式 首行缩进:  2 字符"/>
    <w:basedOn w:val="1"/>
    <w:qFormat/>
    <w:uiPriority w:val="0"/>
    <w:pPr>
      <w:spacing w:line="360" w:lineRule="auto"/>
      <w:ind w:left="-66" w:leftChars="-35" w:firstLine="467" w:firstLineChars="181"/>
    </w:pPr>
    <w:rPr>
      <w:rFonts w:ascii="宋体" w:hAnsi="宋体"/>
      <w:color w:val="000000"/>
      <w:sz w:val="28"/>
      <w:szCs w:val="20"/>
    </w:rPr>
  </w:style>
  <w:style w:type="paragraph" w:customStyle="1" w:styleId="184">
    <w:name w:val="普通(网站)1"/>
    <w:basedOn w:val="1"/>
    <w:qFormat/>
    <w:uiPriority w:val="0"/>
    <w:pPr>
      <w:widowControl/>
      <w:spacing w:before="100" w:beforeAutospacing="1" w:after="100" w:afterAutospacing="1"/>
      <w:jc w:val="left"/>
    </w:pPr>
    <w:rPr>
      <w:rFonts w:hint="eastAsia" w:ascii="宋体" w:hAnsi="宋体"/>
      <w:szCs w:val="20"/>
    </w:rPr>
  </w:style>
  <w:style w:type="table" w:customStyle="1" w:styleId="185">
    <w:name w:val="网格型1"/>
    <w:basedOn w:val="5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6">
    <w:name w:val="网格型11"/>
    <w:basedOn w:val="5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7">
    <w:name w:val="浅色底纹 - 强调文字颜色 11"/>
    <w:basedOn w:val="50"/>
    <w:qFormat/>
    <w:uiPriority w:val="60"/>
    <w:rPr>
      <w:rFonts w:ascii="Calibri" w:hAnsi="Calibri"/>
      <w:color w:val="2E74B5"/>
      <w:sz w:val="22"/>
      <w:szCs w:val="22"/>
    </w:rPr>
    <w:tblPr>
      <w:tblBorders>
        <w:top w:val="single" w:color="5B9BD5" w:sz="8" w:space="0"/>
        <w:bottom w:val="single" w:color="5B9BD5"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5B9BD5" w:sz="8" w:space="0"/>
          <w:left w:val="nil"/>
          <w:bottom w:val="single" w:color="5B9BD5" w:sz="8" w:space="0"/>
          <w:right w:val="nil"/>
          <w:insideH w:val="nil"/>
          <w:insideV w:val="nil"/>
          <w:tl2br w:val="nil"/>
          <w:tr2bl w:val="nil"/>
        </w:tcBorders>
      </w:tcPr>
    </w:tblStylePr>
    <w:tblStylePr w:type="lastRow">
      <w:pPr>
        <w:spacing w:before="0" w:after="0" w:line="240" w:lineRule="auto"/>
      </w:pPr>
      <w:rPr>
        <w:b/>
        <w:bCs/>
      </w:rPr>
      <w:tcPr>
        <w:tcBorders>
          <w:top w:val="single" w:color="5B9BD5" w:sz="8" w:space="0"/>
          <w:left w:val="nil"/>
          <w:bottom w:val="single" w:color="5B9BD5"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D6E6F4"/>
      </w:tcPr>
    </w:tblStylePr>
    <w:tblStylePr w:type="band1Horz">
      <w:tcPr>
        <w:tcBorders>
          <w:top w:val="nil"/>
          <w:left w:val="nil"/>
          <w:bottom w:val="nil"/>
          <w:right w:val="nil"/>
          <w:insideH w:val="nil"/>
          <w:insideV w:val="nil"/>
          <w:tl2br w:val="nil"/>
          <w:tr2bl w:val="nil"/>
        </w:tcBorders>
        <w:shd w:val="clear" w:color="auto" w:fill="D6E6F4"/>
      </w:tcPr>
    </w:tblStylePr>
  </w:style>
  <w:style w:type="table" w:customStyle="1" w:styleId="188">
    <w:name w:val="Table Normal"/>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89">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ascii="Calibri" w:hAnsi="Calibri" w:cs="宋体"/>
      <w:szCs w:val="20"/>
    </w:rPr>
  </w:style>
  <w:style w:type="character" w:customStyle="1" w:styleId="190">
    <w:name w:val="NormalCharacter"/>
    <w:qFormat/>
    <w:uiPriority w:val="0"/>
  </w:style>
  <w:style w:type="character" w:customStyle="1" w:styleId="191">
    <w:name w:val="正文文本 Char"/>
    <w:qFormat/>
    <w:locked/>
    <w:uiPriority w:val="0"/>
    <w:rPr>
      <w:sz w:val="18"/>
    </w:rPr>
  </w:style>
  <w:style w:type="paragraph" w:customStyle="1" w:styleId="192">
    <w:name w:val="报告表正文"/>
    <w:basedOn w:val="1"/>
    <w:qFormat/>
    <w:uiPriority w:val="0"/>
    <w:pPr>
      <w:adjustRightInd w:val="0"/>
      <w:spacing w:line="312" w:lineRule="auto"/>
      <w:ind w:left="113" w:right="113" w:firstLine="482"/>
      <w:jc w:val="left"/>
      <w:textAlignment w:val="baseline"/>
    </w:pPr>
    <w:rPr>
      <w:kern w:val="0"/>
    </w:rPr>
  </w:style>
  <w:style w:type="paragraph" w:customStyle="1" w:styleId="193">
    <w:name w:val="样式 小四 首行缩进:  0.85 厘米"/>
    <w:basedOn w:val="1"/>
    <w:qFormat/>
    <w:uiPriority w:val="0"/>
    <w:pPr>
      <w:spacing w:line="360" w:lineRule="auto"/>
      <w:ind w:firstLine="482"/>
    </w:pPr>
  </w:style>
  <w:style w:type="character" w:customStyle="1" w:styleId="194">
    <w:name w:val="未处理的提及2"/>
    <w:basedOn w:val="53"/>
    <w:semiHidden/>
    <w:unhideWhenUsed/>
    <w:qFormat/>
    <w:uiPriority w:val="99"/>
    <w:rPr>
      <w:color w:val="605E5C"/>
      <w:shd w:val="clear" w:color="auto" w:fill="E1DFDD"/>
    </w:rPr>
  </w:style>
  <w:style w:type="character" w:customStyle="1" w:styleId="195">
    <w:name w:val="正文文本 2 Char"/>
    <w:basedOn w:val="53"/>
    <w:link w:val="42"/>
    <w:qFormat/>
    <w:uiPriority w:val="0"/>
    <w:rPr>
      <w:rFonts w:ascii="Calibri" w:hAnsi="Calibri"/>
      <w:kern w:val="2"/>
      <w:sz w:val="21"/>
      <w:szCs w:val="22"/>
    </w:rPr>
  </w:style>
  <w:style w:type="paragraph" w:customStyle="1" w:styleId="196">
    <w:name w:val="图表名"/>
    <w:next w:val="1"/>
    <w:link w:val="197"/>
    <w:qFormat/>
    <w:uiPriority w:val="5"/>
    <w:pPr>
      <w:spacing w:line="360" w:lineRule="auto"/>
      <w:jc w:val="center"/>
    </w:pPr>
    <w:rPr>
      <w:rFonts w:ascii="Times New Roman" w:hAnsi="Times New Roman" w:eastAsia="黑体" w:cs="Times New Roman"/>
      <w:b/>
      <w:kern w:val="2"/>
      <w:sz w:val="21"/>
      <w:szCs w:val="21"/>
      <w:lang w:val="en-US" w:eastAsia="zh-CN" w:bidi="ar-SA"/>
    </w:rPr>
  </w:style>
  <w:style w:type="character" w:customStyle="1" w:styleId="197">
    <w:name w:val="图表名 字符"/>
    <w:basedOn w:val="53"/>
    <w:link w:val="196"/>
    <w:qFormat/>
    <w:uiPriority w:val="5"/>
    <w:rPr>
      <w:rFonts w:eastAsia="黑体"/>
      <w:b/>
      <w:kern w:val="2"/>
      <w:sz w:val="21"/>
      <w:szCs w:val="21"/>
    </w:rPr>
  </w:style>
  <w:style w:type="character" w:customStyle="1" w:styleId="198">
    <w:name w:val="表格 字符"/>
    <w:basedOn w:val="53"/>
    <w:qFormat/>
    <w:uiPriority w:val="0"/>
    <w:rPr>
      <w:rFonts w:cs="Times New Roman"/>
      <w:kern w:val="2"/>
      <w:sz w:val="21"/>
      <w:szCs w:val="21"/>
    </w:rPr>
  </w:style>
  <w:style w:type="paragraph" w:customStyle="1" w:styleId="199">
    <w:name w:val="TOC 标题1"/>
    <w:basedOn w:val="3"/>
    <w:next w:val="1"/>
    <w:unhideWhenUsed/>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table" w:customStyle="1" w:styleId="200">
    <w:name w:val="网格型12"/>
    <w:basedOn w:val="5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1">
    <w:name w:val="网格型2"/>
    <w:basedOn w:val="5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02">
    <w:name w:val="Table Normal1"/>
    <w:basedOn w:val="50"/>
    <w:qFormat/>
    <w:uiPriority w:val="0"/>
    <w:rPr>
      <w:rFonts w:eastAsia="Times New Roman"/>
    </w:rPr>
    <w:tblPr>
      <w:tblCellMar>
        <w:top w:w="0" w:type="dxa"/>
        <w:left w:w="0" w:type="dxa"/>
        <w:bottom w:w="0" w:type="dxa"/>
        <w:right w:w="0" w:type="dxa"/>
      </w:tblCellMar>
    </w:tblPr>
  </w:style>
  <w:style w:type="table" w:customStyle="1" w:styleId="203">
    <w:name w:val="Table Normal11"/>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table" w:customStyle="1" w:styleId="204">
    <w:name w:val="网格型3"/>
    <w:basedOn w:val="50"/>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205">
    <w:name w:val="无间隔 Char"/>
    <w:link w:val="206"/>
    <w:qFormat/>
    <w:uiPriority w:val="1"/>
    <w:rPr>
      <w:kern w:val="2"/>
      <w:sz w:val="21"/>
      <w:szCs w:val="24"/>
    </w:rPr>
  </w:style>
  <w:style w:type="paragraph" w:styleId="206">
    <w:name w:val="No Spacing"/>
    <w:link w:val="205"/>
    <w:qFormat/>
    <w:uiPriority w:val="1"/>
    <w:pPr>
      <w:widowControl w:val="0"/>
      <w:jc w:val="center"/>
    </w:pPr>
    <w:rPr>
      <w:rFonts w:ascii="Times New Roman" w:hAnsi="Times New Roman" w:eastAsia="宋体" w:cs="Times New Roman"/>
      <w:kern w:val="2"/>
      <w:sz w:val="21"/>
      <w:szCs w:val="24"/>
      <w:lang w:val="en-US" w:eastAsia="zh-CN" w:bidi="ar-SA"/>
    </w:rPr>
  </w:style>
  <w:style w:type="table" w:customStyle="1" w:styleId="207">
    <w:name w:val="网格型4"/>
    <w:basedOn w:val="50"/>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8">
    <w:name w:val="网格型31"/>
    <w:basedOn w:val="50"/>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09">
    <w:name w:val="网格型刘1"/>
    <w:basedOn w:val="50"/>
    <w:qFormat/>
    <w:uiPriority w:val="3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0">
    <w:name w:val="网格型5"/>
    <w:basedOn w:val="5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1">
    <w:name w:val="网格型21"/>
    <w:basedOn w:val="50"/>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212">
    <w:name w:val="网格型刘2"/>
    <w:basedOn w:val="50"/>
    <w:qFormat/>
    <w:uiPriority w:val="39"/>
    <w:rPr>
      <w:kern w:val="2"/>
      <w:sz w:val="21"/>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3">
    <w:name w:val="TOC 标题2"/>
    <w:basedOn w:val="3"/>
    <w:next w:val="1"/>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376092" w:themeColor="accent1" w:themeShade="BF"/>
      <w:kern w:val="0"/>
      <w:sz w:val="32"/>
      <w:szCs w:val="32"/>
    </w:rPr>
  </w:style>
  <w:style w:type="character" w:customStyle="1" w:styleId="214">
    <w:name w:val="未处理的提及3"/>
    <w:basedOn w:val="53"/>
    <w:semiHidden/>
    <w:unhideWhenUsed/>
    <w:qFormat/>
    <w:uiPriority w:val="99"/>
    <w:rPr>
      <w:color w:val="605E5C"/>
      <w:shd w:val="clear" w:color="auto" w:fill="E1DFDD"/>
    </w:rPr>
  </w:style>
  <w:style w:type="paragraph" w:customStyle="1" w:styleId="215">
    <w:name w:val="表格内容11111"/>
    <w:basedOn w:val="1"/>
    <w:link w:val="216"/>
    <w:qFormat/>
    <w:uiPriority w:val="0"/>
    <w:pPr>
      <w:adjustRightInd w:val="0"/>
      <w:snapToGrid w:val="0"/>
      <w:jc w:val="center"/>
    </w:pPr>
    <w:rPr>
      <w:bCs/>
      <w:kern w:val="0"/>
      <w:sz w:val="21"/>
      <w:szCs w:val="21"/>
    </w:rPr>
  </w:style>
  <w:style w:type="character" w:customStyle="1" w:styleId="216">
    <w:name w:val="表格内容11111 字符"/>
    <w:basedOn w:val="53"/>
    <w:link w:val="215"/>
    <w:qFormat/>
    <w:uiPriority w:val="0"/>
    <w:rPr>
      <w:bCs/>
      <w:sz w:val="21"/>
      <w:szCs w:val="21"/>
    </w:rPr>
  </w:style>
  <w:style w:type="table" w:customStyle="1" w:styleId="217">
    <w:name w:val="网格型6"/>
    <w:basedOn w:val="50"/>
    <w:qFormat/>
    <w:uiPriority w:val="0"/>
    <w:tblPr>
      <w:tblBorders>
        <w:top w:val="single" w:color="auto" w:sz="4" w:space="0"/>
        <w:bottom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18">
    <w:name w:val="Char21"/>
    <w:basedOn w:val="1"/>
    <w:qFormat/>
    <w:uiPriority w:val="0"/>
    <w:pPr>
      <w:widowControl/>
      <w:jc w:val="left"/>
    </w:pPr>
    <w:rPr>
      <w:rFonts w:ascii="Tahoma" w:hAnsi="Tahoma" w:cs="宋体"/>
      <w:kern w:val="0"/>
      <w:szCs w:val="20"/>
    </w:rPr>
  </w:style>
  <w:style w:type="character" w:customStyle="1" w:styleId="219">
    <w:name w:val="正文文本 3 Char"/>
    <w:basedOn w:val="53"/>
    <w:link w:val="17"/>
    <w:qFormat/>
    <w:uiPriority w:val="0"/>
    <w:rPr>
      <w:rFonts w:ascii="宋体" w:hAnsi="宋体" w:cs="宋体"/>
      <w:sz w:val="18"/>
      <w:szCs w:val="24"/>
    </w:rPr>
  </w:style>
  <w:style w:type="character" w:customStyle="1" w:styleId="220">
    <w:name w:val="正文首行缩进 Char"/>
    <w:basedOn w:val="66"/>
    <w:link w:val="48"/>
    <w:qFormat/>
    <w:uiPriority w:val="0"/>
    <w:rPr>
      <w:rFonts w:ascii="宋体" w:hAnsi="宋体" w:cs="宋体"/>
      <w:sz w:val="18"/>
    </w:rPr>
  </w:style>
  <w:style w:type="character" w:customStyle="1" w:styleId="221">
    <w:name w:val="样式01 Char Char"/>
    <w:link w:val="222"/>
    <w:qFormat/>
    <w:uiPriority w:val="0"/>
    <w:rPr>
      <w:rFonts w:ascii="仿宋_GB2312"/>
      <w:kern w:val="2"/>
      <w:sz w:val="28"/>
      <w:szCs w:val="28"/>
    </w:rPr>
  </w:style>
  <w:style w:type="paragraph" w:customStyle="1" w:styleId="222">
    <w:name w:val="样式01"/>
    <w:basedOn w:val="1"/>
    <w:link w:val="221"/>
    <w:qFormat/>
    <w:uiPriority w:val="0"/>
    <w:pPr>
      <w:widowControl/>
      <w:topLinePunct/>
      <w:adjustRightInd w:val="0"/>
      <w:snapToGrid w:val="0"/>
      <w:spacing w:line="520" w:lineRule="exact"/>
      <w:ind w:firstLine="200" w:firstLineChars="200"/>
      <w:jc w:val="left"/>
    </w:pPr>
    <w:rPr>
      <w:rFonts w:ascii="仿宋_GB2312"/>
      <w:sz w:val="28"/>
      <w:szCs w:val="28"/>
    </w:rPr>
  </w:style>
  <w:style w:type="character" w:customStyle="1" w:styleId="223">
    <w:name w:val="zw1"/>
    <w:uiPriority w:val="0"/>
    <w:rPr>
      <w:rFonts w:hint="eastAsia" w:ascii="宋体" w:hAnsi="宋体" w:eastAsia="宋体"/>
      <w:sz w:val="22"/>
      <w:szCs w:val="22"/>
    </w:rPr>
  </w:style>
  <w:style w:type="character" w:customStyle="1" w:styleId="224">
    <w:name w:val="disabled"/>
    <w:qFormat/>
    <w:uiPriority w:val="0"/>
    <w:rPr>
      <w:color w:val="BABABA"/>
      <w:bdr w:val="single" w:color="BABABA" w:sz="6" w:space="0"/>
    </w:rPr>
  </w:style>
  <w:style w:type="character" w:customStyle="1" w:styleId="225">
    <w:name w:val="Char Char2"/>
    <w:qFormat/>
    <w:uiPriority w:val="0"/>
    <w:rPr>
      <w:rFonts w:eastAsia="宋体"/>
      <w:kern w:val="2"/>
      <w:sz w:val="24"/>
      <w:lang w:val="en-US" w:eastAsia="zh-CN" w:bidi="ar-SA"/>
    </w:rPr>
  </w:style>
  <w:style w:type="character" w:customStyle="1" w:styleId="226">
    <w:name w:val="bt21"/>
    <w:qFormat/>
    <w:uiPriority w:val="0"/>
    <w:rPr>
      <w:rFonts w:hint="eastAsia" w:ascii="黑体" w:eastAsia="黑体"/>
      <w:sz w:val="24"/>
      <w:szCs w:val="24"/>
    </w:rPr>
  </w:style>
  <w:style w:type="character" w:customStyle="1" w:styleId="227">
    <w:name w:val="current"/>
    <w:qFormat/>
    <w:uiPriority w:val="0"/>
    <w:rPr>
      <w:b/>
      <w:color w:val="FFFFFF"/>
      <w:bdr w:val="single" w:color="0862B8" w:sz="6" w:space="0"/>
      <w:shd w:val="clear" w:color="auto" w:fill="0862B8"/>
    </w:rPr>
  </w:style>
  <w:style w:type="paragraph" w:customStyle="1" w:styleId="228">
    <w:name w:val="正文缩进1"/>
    <w:basedOn w:val="1"/>
    <w:qFormat/>
    <w:uiPriority w:val="0"/>
    <w:pPr>
      <w:widowControl/>
      <w:ind w:firstLine="420" w:firstLineChars="200"/>
      <w:jc w:val="left"/>
    </w:pPr>
    <w:rPr>
      <w:rFonts w:ascii="宋体" w:hAnsi="宋体" w:cs="宋体"/>
      <w:kern w:val="0"/>
    </w:rPr>
  </w:style>
  <w:style w:type="paragraph" w:customStyle="1" w:styleId="229">
    <w:name w:val="样式 样式 样式 正文——宋体 四号 + 宋体 + 首行缩进:  2 字符 + 首行缩进:  2 字符"/>
    <w:basedOn w:val="1"/>
    <w:qFormat/>
    <w:uiPriority w:val="0"/>
    <w:pPr>
      <w:widowControl/>
      <w:spacing w:line="500" w:lineRule="exact"/>
      <w:ind w:firstLine="641" w:firstLineChars="200"/>
      <w:jc w:val="left"/>
    </w:pPr>
    <w:rPr>
      <w:rFonts w:ascii="宋体" w:hAnsi="宋体" w:cs="宋体"/>
      <w:b/>
      <w:kern w:val="0"/>
      <w:sz w:val="32"/>
      <w:szCs w:val="32"/>
    </w:rPr>
  </w:style>
  <w:style w:type="paragraph" w:customStyle="1" w:styleId="230">
    <w:name w:val="样式 样式 正文——宋体 四号 + 宋体 + 首行缩进:  2 字符"/>
    <w:basedOn w:val="1"/>
    <w:qFormat/>
    <w:uiPriority w:val="0"/>
    <w:pPr>
      <w:widowControl/>
      <w:spacing w:line="520" w:lineRule="exact"/>
      <w:ind w:firstLine="200" w:firstLineChars="200"/>
      <w:jc w:val="left"/>
    </w:pPr>
    <w:rPr>
      <w:rFonts w:ascii="宋体" w:hAnsi="宋体" w:cs="宋体"/>
      <w:kern w:val="0"/>
      <w:sz w:val="28"/>
      <w:szCs w:val="20"/>
    </w:rPr>
  </w:style>
  <w:style w:type="paragraph" w:customStyle="1" w:styleId="231">
    <w:name w:val="注释标题1"/>
    <w:basedOn w:val="1"/>
    <w:next w:val="1"/>
    <w:qFormat/>
    <w:uiPriority w:val="0"/>
    <w:pPr>
      <w:widowControl/>
      <w:jc w:val="center"/>
    </w:pPr>
    <w:rPr>
      <w:rFonts w:ascii="宋体"/>
      <w:kern w:val="0"/>
      <w:szCs w:val="20"/>
    </w:rPr>
  </w:style>
  <w:style w:type="paragraph" w:customStyle="1" w:styleId="232">
    <w:name w:val="报告段落"/>
    <w:basedOn w:val="1"/>
    <w:qFormat/>
    <w:uiPriority w:val="0"/>
    <w:pPr>
      <w:widowControl/>
      <w:spacing w:before="156" w:beforeLines="50" w:after="156" w:afterLines="50" w:line="360" w:lineRule="auto"/>
      <w:ind w:firstLine="200" w:firstLineChars="200"/>
      <w:jc w:val="left"/>
    </w:pPr>
    <w:rPr>
      <w:rFonts w:ascii="宋体" w:hAnsi="宋体" w:cs="宋体"/>
      <w:color w:val="000000"/>
      <w:kern w:val="0"/>
    </w:rPr>
  </w:style>
  <w:style w:type="paragraph" w:customStyle="1" w:styleId="233">
    <w:name w:val="Char2"/>
    <w:basedOn w:val="3"/>
    <w:next w:val="1"/>
    <w:qFormat/>
    <w:uiPriority w:val="0"/>
    <w:pPr>
      <w:keepLines/>
      <w:widowControl/>
      <w:overflowPunct/>
      <w:adjustRightInd w:val="0"/>
      <w:spacing w:before="0" w:after="0" w:line="440" w:lineRule="exact"/>
      <w:ind w:left="60" w:firstLine="0"/>
      <w:jc w:val="left"/>
    </w:pPr>
    <w:rPr>
      <w:rFonts w:ascii="宋体" w:hAnsi="宋体" w:cs="宋体"/>
      <w:b w:val="0"/>
      <w:bCs w:val="0"/>
      <w:color w:val="auto"/>
      <w:sz w:val="28"/>
      <w:szCs w:val="28"/>
    </w:rPr>
  </w:style>
  <w:style w:type="paragraph" w:customStyle="1" w:styleId="234">
    <w:name w:val="样式 (西文) 宋体 小四 黑色 行距: 1.5 倍行距"/>
    <w:basedOn w:val="1"/>
    <w:qFormat/>
    <w:uiPriority w:val="0"/>
    <w:pPr>
      <w:widowControl/>
      <w:ind w:firstLine="560" w:firstLineChars="200"/>
      <w:jc w:val="left"/>
    </w:pPr>
    <w:rPr>
      <w:rFonts w:ascii="宋体" w:hAnsi="宋体" w:cs="宋体"/>
      <w:kern w:val="0"/>
      <w:sz w:val="28"/>
      <w:szCs w:val="20"/>
    </w:rPr>
  </w:style>
  <w:style w:type="paragraph" w:customStyle="1" w:styleId="235">
    <w:name w:val="样式 样式 样式 行距: 1.5 倍行距 + 首行缩进:  2 字符 + 首行缩进:  2 字符"/>
    <w:basedOn w:val="1"/>
    <w:qFormat/>
    <w:uiPriority w:val="0"/>
    <w:pPr>
      <w:widowControl/>
      <w:snapToGrid w:val="0"/>
      <w:spacing w:line="500" w:lineRule="exact"/>
      <w:ind w:firstLine="200" w:firstLineChars="200"/>
      <w:jc w:val="left"/>
    </w:pPr>
    <w:rPr>
      <w:rFonts w:ascii="宋体" w:hAnsi="宋体" w:eastAsia="仿宋_GB2312" w:cs="宋体"/>
      <w:kern w:val="0"/>
      <w:sz w:val="28"/>
      <w:szCs w:val="20"/>
    </w:rPr>
  </w:style>
  <w:style w:type="paragraph" w:customStyle="1" w:styleId="236">
    <w:name w:val="xl59"/>
    <w:basedOn w:val="1"/>
    <w:qFormat/>
    <w:uiPriority w:val="0"/>
    <w:pPr>
      <w:widowControl/>
      <w:pBdr>
        <w:bottom w:val="single" w:color="auto" w:sz="8" w:space="0"/>
        <w:right w:val="single" w:color="000000" w:sz="8" w:space="0"/>
      </w:pBdr>
      <w:spacing w:before="100" w:beforeAutospacing="1" w:after="100" w:afterAutospacing="1"/>
      <w:jc w:val="left"/>
    </w:pPr>
    <w:rPr>
      <w:rFonts w:hint="eastAsia" w:ascii="Arial Unicode MS" w:hAnsi="Arial Unicode MS" w:eastAsia="Arial Unicode MS" w:cs="Arial Unicode MS"/>
      <w:kern w:val="0"/>
      <w:szCs w:val="21"/>
    </w:rPr>
  </w:style>
  <w:style w:type="paragraph" w:customStyle="1" w:styleId="237">
    <w:name w:val="样式 样式 宋体 四号 行距: 固定值 23 磅 + 首行缩进:  2 字符"/>
    <w:basedOn w:val="1"/>
    <w:qFormat/>
    <w:uiPriority w:val="0"/>
    <w:pPr>
      <w:widowControl/>
      <w:spacing w:line="520" w:lineRule="exact"/>
      <w:ind w:firstLine="200" w:firstLineChars="200"/>
      <w:jc w:val="left"/>
    </w:pPr>
    <w:rPr>
      <w:rFonts w:ascii="宋体" w:hAnsi="宋体" w:cs="宋体"/>
      <w:kern w:val="0"/>
      <w:sz w:val="28"/>
      <w:szCs w:val="28"/>
    </w:rPr>
  </w:style>
  <w:style w:type="paragraph" w:customStyle="1" w:styleId="238">
    <w:name w:val="xl29"/>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rPr>
  </w:style>
  <w:style w:type="paragraph" w:customStyle="1" w:styleId="239">
    <w:name w:val="样式2"/>
    <w:basedOn w:val="1"/>
    <w:qFormat/>
    <w:uiPriority w:val="0"/>
    <w:pPr>
      <w:widowControl/>
      <w:jc w:val="center"/>
    </w:pPr>
    <w:rPr>
      <w:rFonts w:ascii="宋体"/>
      <w:kern w:val="0"/>
      <w:szCs w:val="20"/>
    </w:rPr>
  </w:style>
  <w:style w:type="paragraph" w:customStyle="1" w:styleId="240">
    <w:name w:val="样式 样式 样式 样式 正文——宋体 四号 + 宋体 + 首行缩进:  2 字符 + 首行缩进:  2 字符 + 首行缩进:  ..."/>
    <w:basedOn w:val="1"/>
    <w:qFormat/>
    <w:uiPriority w:val="0"/>
    <w:pPr>
      <w:widowControl/>
      <w:adjustRightInd w:val="0"/>
      <w:snapToGrid w:val="0"/>
      <w:spacing w:line="480" w:lineRule="exact"/>
      <w:ind w:firstLine="571" w:firstLineChars="1697"/>
      <w:jc w:val="left"/>
    </w:pPr>
    <w:rPr>
      <w:rFonts w:ascii="宋体" w:hAnsi="宋体" w:cs="宋体"/>
      <w:b/>
      <w:kern w:val="0"/>
      <w:szCs w:val="20"/>
    </w:rPr>
  </w:style>
  <w:style w:type="paragraph" w:customStyle="1" w:styleId="241">
    <w:name w:val="标题4"/>
    <w:basedOn w:val="1"/>
    <w:next w:val="1"/>
    <w:qFormat/>
    <w:uiPriority w:val="0"/>
    <w:pPr>
      <w:widowControl/>
      <w:spacing w:line="480" w:lineRule="exact"/>
      <w:jc w:val="left"/>
      <w:outlineLvl w:val="3"/>
    </w:pPr>
    <w:rPr>
      <w:rFonts w:ascii="宋体" w:hAnsi="宋体" w:cs="宋体"/>
      <w:spacing w:val="10"/>
      <w:kern w:val="24"/>
    </w:rPr>
  </w:style>
  <w:style w:type="paragraph" w:customStyle="1" w:styleId="242">
    <w:name w:val="c"/>
    <w:qFormat/>
    <w:uiPriority w:val="0"/>
    <w:pPr>
      <w:widowControl w:val="0"/>
      <w:autoSpaceDE w:val="0"/>
      <w:autoSpaceDN w:val="0"/>
      <w:adjustRightInd w:val="0"/>
      <w:jc w:val="both"/>
    </w:pPr>
    <w:rPr>
      <w:rFonts w:ascii="Arial" w:hAnsi="Arial" w:eastAsia="宋体" w:cs="Times New Roman"/>
      <w:sz w:val="24"/>
      <w:lang w:val="en-US" w:eastAsia="zh-CN" w:bidi="ar-SA"/>
    </w:rPr>
  </w:style>
  <w:style w:type="paragraph" w:customStyle="1" w:styleId="243">
    <w:name w:val="xl34"/>
    <w:basedOn w:val="1"/>
    <w:qFormat/>
    <w:uiPriority w:val="0"/>
    <w:pPr>
      <w:widowControl/>
      <w:pBdr>
        <w:bottom w:val="single" w:color="auto" w:sz="8" w:space="0"/>
        <w:right w:val="single" w:color="000000" w:sz="8" w:space="0"/>
      </w:pBdr>
      <w:spacing w:before="100" w:beforeAutospacing="1" w:after="100" w:afterAutospacing="1"/>
      <w:jc w:val="center"/>
      <w:textAlignment w:val="top"/>
    </w:pPr>
    <w:rPr>
      <w:rFonts w:ascii="Arial Unicode MS" w:hAnsi="Arial Unicode MS" w:eastAsia="Arial Unicode MS" w:cs="宋体"/>
      <w:kern w:val="0"/>
      <w:szCs w:val="21"/>
    </w:rPr>
  </w:style>
  <w:style w:type="paragraph" w:customStyle="1" w:styleId="244">
    <w:name w:val="样式111"/>
    <w:uiPriority w:val="0"/>
    <w:pPr>
      <w:adjustRightInd w:val="0"/>
      <w:snapToGrid w:val="0"/>
      <w:jc w:val="both"/>
    </w:pPr>
    <w:rPr>
      <w:rFonts w:ascii="宋体" w:hAnsi="Times New Roman" w:eastAsia="宋体" w:cs="Times New Roman"/>
      <w:sz w:val="21"/>
      <w:lang w:val="en-US" w:eastAsia="zh-CN" w:bidi="ar-SA"/>
    </w:rPr>
  </w:style>
  <w:style w:type="paragraph" w:customStyle="1" w:styleId="245">
    <w:name w:val="表文"/>
    <w:basedOn w:val="1"/>
    <w:qFormat/>
    <w:uiPriority w:val="0"/>
    <w:pPr>
      <w:widowControl/>
      <w:spacing w:line="360" w:lineRule="auto"/>
      <w:jc w:val="center"/>
    </w:pPr>
    <w:rPr>
      <w:kern w:val="0"/>
    </w:rPr>
  </w:style>
  <w:style w:type="paragraph" w:customStyle="1" w:styleId="246">
    <w:name w:val="节标题"/>
    <w:basedOn w:val="4"/>
    <w:next w:val="1"/>
    <w:qFormat/>
    <w:uiPriority w:val="0"/>
    <w:pPr>
      <w:widowControl/>
      <w:spacing w:before="120" w:after="0" w:line="500" w:lineRule="exact"/>
      <w:jc w:val="left"/>
    </w:pPr>
    <w:rPr>
      <w:rFonts w:ascii="宋体" w:hAnsi="宋体" w:eastAsia="宋体" w:cs="宋体"/>
      <w:kern w:val="0"/>
      <w:sz w:val="30"/>
      <w:szCs w:val="30"/>
      <w:lang w:val="en-US" w:eastAsia="zh-CN"/>
    </w:rPr>
  </w:style>
  <w:style w:type="paragraph" w:customStyle="1" w:styleId="247">
    <w:name w:val="项目标题"/>
    <w:basedOn w:val="5"/>
    <w:qFormat/>
    <w:uiPriority w:val="0"/>
    <w:pPr>
      <w:keepNext w:val="0"/>
      <w:keepLines w:val="0"/>
      <w:widowControl/>
      <w:spacing w:beforeLines="50" w:afterLines="50" w:line="520" w:lineRule="exact"/>
      <w:jc w:val="left"/>
    </w:pPr>
    <w:rPr>
      <w:rFonts w:ascii="宋体" w:hAnsi="宋体" w:cs="宋体"/>
      <w:color w:val="000000"/>
      <w:kern w:val="0"/>
      <w:szCs w:val="20"/>
      <w:lang w:val="zh-CN"/>
    </w:rPr>
  </w:style>
  <w:style w:type="paragraph" w:customStyle="1" w:styleId="248">
    <w:name w:val="img"/>
    <w:basedOn w:val="1"/>
    <w:qFormat/>
    <w:uiPriority w:val="0"/>
    <w:pPr>
      <w:widowControl/>
      <w:jc w:val="left"/>
    </w:pPr>
    <w:rPr>
      <w:rFonts w:ascii="宋体" w:hAnsi="宋体" w:cs="宋体"/>
      <w:kern w:val="0"/>
    </w:rPr>
  </w:style>
  <w:style w:type="paragraph" w:customStyle="1" w:styleId="249">
    <w:name w:val="样式 正文缩进 + 首行缩进:  2 字符 行距: 固定值 26 磅 Char"/>
    <w:basedOn w:val="228"/>
    <w:qFormat/>
    <w:uiPriority w:val="0"/>
    <w:pPr>
      <w:spacing w:line="520" w:lineRule="exact"/>
      <w:ind w:firstLine="200"/>
    </w:pPr>
    <w:rPr>
      <w:rFonts w:ascii="仿宋_GB2312" w:hAnsi="仿宋_GB2312" w:eastAsia="新宋体" w:cs="新宋体"/>
      <w:sz w:val="28"/>
      <w:szCs w:val="20"/>
    </w:rPr>
  </w:style>
  <w:style w:type="paragraph" w:customStyle="1" w:styleId="250">
    <w:name w:val="样式 项目标题 + 宋体 首行缩进:  2 字符"/>
    <w:basedOn w:val="247"/>
    <w:next w:val="1"/>
    <w:qFormat/>
    <w:uiPriority w:val="0"/>
    <w:pPr>
      <w:keepNext/>
      <w:keepLines/>
      <w:spacing w:line="320" w:lineRule="exact"/>
      <w:ind w:firstLine="571" w:firstLineChars="200"/>
    </w:pPr>
    <w:rPr>
      <w:rFonts w:eastAsia="黑体"/>
      <w:sz w:val="28"/>
      <w:szCs w:val="28"/>
    </w:rPr>
  </w:style>
  <w:style w:type="paragraph" w:customStyle="1" w:styleId="251">
    <w:name w:val="预案正文"/>
    <w:basedOn w:val="1"/>
    <w:qFormat/>
    <w:uiPriority w:val="0"/>
    <w:pPr>
      <w:widowControl/>
      <w:spacing w:line="360" w:lineRule="auto"/>
      <w:ind w:firstLine="560" w:firstLineChars="200"/>
      <w:jc w:val="left"/>
    </w:pPr>
    <w:rPr>
      <w:rFonts w:cs="宋体"/>
      <w:kern w:val="0"/>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wmf"/><Relationship Id="rId23" Type="http://schemas.microsoft.com/office/2007/relationships/hdphoto" Target="media/image14.wdp"/><Relationship Id="rId22" Type="http://schemas.openxmlformats.org/officeDocument/2006/relationships/image" Target="media/image13.png"/><Relationship Id="rId21" Type="http://schemas.openxmlformats.org/officeDocument/2006/relationships/image" Target="media/image12.e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emf"/><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FFF26F-8D5F-41EC-B22B-05EABF2E0944}">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75</Pages>
  <Words>36092</Words>
  <Characters>43156</Characters>
  <Lines>347</Lines>
  <Paragraphs>97</Paragraphs>
  <TotalTime>100</TotalTime>
  <ScaleCrop>false</ScaleCrop>
  <LinksUpToDate>false</LinksUpToDate>
  <CharactersWithSpaces>43902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2021-06-09T13:51:00Z</dcterms:created>
  <dc:creator>lhj</dc:creator>
  <cp:lastModifiedBy>Administrator</cp:lastModifiedBy>
  <cp:lastPrinted>2020-12-29T02:43:00Z</cp:lastPrinted>
  <dcterms:modified xsi:type="dcterms:W3CDTF">2022-06-09T02:53:30Z</dcterms:modified>
  <dc:title>附件2</dc:title>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441E7B9CEF9140798D7C9A8408917BDC</vt:lpwstr>
  </property>
  <property fmtid="{D5CDD505-2E9C-101B-9397-08002B2CF9AE}" pid="4" name="KSOSaveFontToCloudKey">
    <vt:lpwstr>267210989_btnclosed</vt:lpwstr>
  </property>
</Properties>
</file>